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BA455" w14:textId="42F522AA" w:rsidR="00E06B61" w:rsidRPr="00BC4E33" w:rsidRDefault="00E06B61" w:rsidP="00E06B61">
      <w:pPr>
        <w:pStyle w:val="CRCoverPage"/>
        <w:tabs>
          <w:tab w:val="left" w:pos="1980"/>
        </w:tabs>
        <w:spacing w:line="259" w:lineRule="auto"/>
        <w:jc w:val="both"/>
        <w:rPr>
          <w:rFonts w:eastAsiaTheme="minorHAnsi" w:cs="Arial"/>
          <w:b/>
          <w:bCs/>
          <w:sz w:val="24"/>
          <w:szCs w:val="24"/>
          <w:lang w:val="en-US"/>
        </w:rPr>
      </w:pPr>
      <w:r w:rsidRPr="00BC4E33">
        <w:rPr>
          <w:rFonts w:eastAsiaTheme="minorHAnsi" w:cs="Arial"/>
          <w:b/>
          <w:bCs/>
          <w:sz w:val="24"/>
          <w:szCs w:val="24"/>
          <w:lang w:val="en-US"/>
        </w:rPr>
        <w:t>3GPP TSG RAN WG2 #117-e</w:t>
      </w:r>
      <w:r w:rsidRPr="00BC4E33">
        <w:rPr>
          <w:rFonts w:eastAsiaTheme="minorHAnsi" w:cs="Arial"/>
          <w:b/>
          <w:bCs/>
          <w:sz w:val="24"/>
          <w:szCs w:val="24"/>
          <w:lang w:val="en-US"/>
        </w:rPr>
        <w:tab/>
        <w:t xml:space="preserve">                                    </w:t>
      </w:r>
      <w:r w:rsidR="00B45DEF" w:rsidRPr="00B45DEF">
        <w:rPr>
          <w:rFonts w:eastAsiaTheme="minorHAnsi" w:cs="Arial"/>
          <w:b/>
          <w:bCs/>
          <w:sz w:val="24"/>
          <w:szCs w:val="24"/>
          <w:lang w:val="en-US"/>
        </w:rPr>
        <w:t>R2-2203293</w:t>
      </w:r>
    </w:p>
    <w:p w14:paraId="683C1F2D" w14:textId="76567B0B" w:rsidR="00E06B61" w:rsidRPr="00BC4E33" w:rsidRDefault="00E06B61" w:rsidP="00E06B61">
      <w:pPr>
        <w:pStyle w:val="CRCoverPage"/>
        <w:tabs>
          <w:tab w:val="left" w:pos="1980"/>
        </w:tabs>
        <w:spacing w:after="0" w:line="259" w:lineRule="auto"/>
        <w:jc w:val="both"/>
        <w:rPr>
          <w:rFonts w:eastAsiaTheme="minorEastAsia" w:cs="Arial"/>
          <w:b/>
          <w:bCs/>
          <w:sz w:val="24"/>
          <w:szCs w:val="22"/>
          <w:lang w:val="en-US" w:eastAsia="ko-KR"/>
        </w:rPr>
      </w:pPr>
      <w:r w:rsidRPr="00BC4E33">
        <w:rPr>
          <w:rFonts w:eastAsiaTheme="minorEastAsia" w:cs="Arial"/>
          <w:b/>
          <w:bCs/>
          <w:sz w:val="24"/>
          <w:szCs w:val="22"/>
          <w:lang w:val="en-US" w:eastAsia="ko-KR"/>
        </w:rPr>
        <w:t>Online</w:t>
      </w:r>
      <w:r w:rsidRPr="00BC4E33">
        <w:rPr>
          <w:rFonts w:eastAsiaTheme="minorEastAsia" w:cs="Arial"/>
          <w:b/>
          <w:bCs/>
          <w:sz w:val="24"/>
          <w:szCs w:val="24"/>
          <w:lang w:val="en-US" w:eastAsia="ko-KR"/>
        </w:rPr>
        <w:t>, 21</w:t>
      </w:r>
      <w:r w:rsidRPr="00BC4E33">
        <w:rPr>
          <w:rFonts w:eastAsiaTheme="minorEastAsia" w:cs="Arial"/>
          <w:b/>
          <w:bCs/>
          <w:sz w:val="24"/>
          <w:szCs w:val="24"/>
          <w:vertAlign w:val="superscript"/>
          <w:lang w:val="en-US" w:eastAsia="ko-KR"/>
        </w:rPr>
        <w:t>st</w:t>
      </w:r>
      <w:r w:rsidRPr="00BC4E33">
        <w:rPr>
          <w:rFonts w:eastAsiaTheme="minorEastAsia" w:cs="Arial"/>
          <w:b/>
          <w:bCs/>
          <w:sz w:val="24"/>
          <w:szCs w:val="24"/>
          <w:lang w:val="en-US" w:eastAsia="ko-KR"/>
        </w:rPr>
        <w:t xml:space="preserve"> February – 3</w:t>
      </w:r>
      <w:r w:rsidRPr="00BC4E33">
        <w:rPr>
          <w:rFonts w:eastAsiaTheme="minorEastAsia" w:cs="Arial"/>
          <w:b/>
          <w:bCs/>
          <w:sz w:val="24"/>
          <w:szCs w:val="24"/>
          <w:vertAlign w:val="superscript"/>
          <w:lang w:val="en-US" w:eastAsia="ko-KR"/>
        </w:rPr>
        <w:t>rd</w:t>
      </w:r>
      <w:r w:rsidRPr="00BC4E33">
        <w:rPr>
          <w:rFonts w:eastAsiaTheme="minorEastAsia" w:cs="Arial"/>
          <w:b/>
          <w:bCs/>
          <w:sz w:val="24"/>
          <w:szCs w:val="24"/>
          <w:lang w:val="en-US" w:eastAsia="ko-KR"/>
        </w:rPr>
        <w:t xml:space="preserve"> </w:t>
      </w:r>
      <w:r w:rsidR="00C02034" w:rsidRPr="00BC4E33">
        <w:rPr>
          <w:rFonts w:eastAsiaTheme="minorEastAsia" w:cs="Arial"/>
          <w:b/>
          <w:bCs/>
          <w:sz w:val="24"/>
          <w:szCs w:val="24"/>
          <w:lang w:val="en-US" w:eastAsia="ko-KR"/>
        </w:rPr>
        <w:t>March</w:t>
      </w:r>
      <w:r w:rsidR="00C02034">
        <w:rPr>
          <w:rFonts w:eastAsiaTheme="minorEastAsia" w:cs="Arial"/>
          <w:b/>
          <w:bCs/>
          <w:sz w:val="24"/>
          <w:szCs w:val="24"/>
          <w:lang w:val="en-US" w:eastAsia="ko-KR"/>
        </w:rPr>
        <w:t>,</w:t>
      </w:r>
      <w:r w:rsidRPr="00BC4E33">
        <w:rPr>
          <w:rFonts w:eastAsiaTheme="minorEastAsia" w:cs="Arial"/>
          <w:b/>
          <w:bCs/>
          <w:sz w:val="24"/>
          <w:szCs w:val="24"/>
          <w:lang w:val="en-US" w:eastAsia="ko-KR"/>
        </w:rPr>
        <w:t xml:space="preserve"> 2022</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77777777"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Pr="00BC4E33">
        <w:rPr>
          <w:rFonts w:cs="Arial"/>
          <w:b/>
          <w:bCs/>
          <w:sz w:val="24"/>
          <w:szCs w:val="24"/>
          <w:lang w:val="en-US"/>
        </w:rPr>
        <w:t>9.2.3.2</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0493A955"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Pr>
          <w:rFonts w:ascii="Arial" w:hAnsi="Arial" w:cs="Arial"/>
          <w:b/>
          <w:bCs/>
          <w:sz w:val="24"/>
          <w:szCs w:val="24"/>
        </w:rPr>
        <w:t>(</w:t>
      </w:r>
      <w:r w:rsidRPr="00BC4E33">
        <w:rPr>
          <w:rFonts w:ascii="Arial" w:hAnsi="Arial" w:cs="Arial"/>
          <w:b/>
          <w:bCs/>
          <w:sz w:val="24"/>
          <w:szCs w:val="24"/>
        </w:rPr>
        <w:t>O1 3.5</w:t>
      </w:r>
      <w:r>
        <w:rPr>
          <w:rFonts w:ascii="Arial" w:hAnsi="Arial" w:cs="Arial"/>
          <w:b/>
          <w:bCs/>
          <w:sz w:val="24"/>
          <w:szCs w:val="24"/>
        </w:rPr>
        <w:t>)</w:t>
      </w:r>
      <w:r w:rsidRPr="00BC4E33">
        <w:rPr>
          <w:rFonts w:ascii="Arial" w:hAnsi="Arial" w:cs="Arial"/>
          <w:b/>
          <w:bCs/>
          <w:sz w:val="24"/>
          <w:szCs w:val="24"/>
        </w:rPr>
        <w:t xml:space="preserve"> </w:t>
      </w:r>
      <w:r>
        <w:rPr>
          <w:rFonts w:ascii="Arial" w:hAnsi="Arial" w:cs="Arial"/>
          <w:b/>
          <w:bCs/>
          <w:sz w:val="24"/>
          <w:szCs w:val="24"/>
        </w:rPr>
        <w:t>Parameters for coverage gap prediction</w:t>
      </w:r>
      <w:r w:rsidR="00046D35">
        <w:rPr>
          <w:rFonts w:ascii="Arial" w:hAnsi="Arial" w:cs="Arial"/>
          <w:b/>
          <w:bCs/>
          <w:sz w:val="24"/>
          <w:szCs w:val="24"/>
        </w:rPr>
        <w:t xml:space="preserve"> and Idle mode behaviour</w:t>
      </w:r>
      <w:r w:rsidRPr="00BC4E33">
        <w:rPr>
          <w:rFonts w:ascii="Arial" w:hAnsi="Arial" w:cs="Arial"/>
          <w:b/>
          <w:bCs/>
          <w:sz w:val="24"/>
          <w:szCs w:val="24"/>
        </w:rPr>
        <w:t xml:space="preserve"> </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7777777"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24A07058" w14:textId="77777777" w:rsidR="00E06B61" w:rsidRPr="0030072A" w:rsidRDefault="00E06B61" w:rsidP="00E06B61">
      <w:pPr>
        <w:pStyle w:val="Doc-text2"/>
        <w:ind w:left="0" w:firstLine="0"/>
        <w:rPr>
          <w:rFonts w:asciiTheme="minorHAnsi" w:hAnsiTheme="minorHAnsi" w:cstheme="minorHAnsi"/>
        </w:rPr>
      </w:pPr>
      <w:r w:rsidRPr="0030072A">
        <w:rPr>
          <w:rFonts w:asciiTheme="minorHAnsi" w:hAnsiTheme="minorHAnsi" w:cstheme="minorHAnsi"/>
        </w:rPr>
        <w:t xml:space="preserve">In RAN2#115-e the following agreements were made </w:t>
      </w:r>
      <w:r w:rsidRPr="0030072A">
        <w:rPr>
          <w:rFonts w:asciiTheme="minorHAnsi" w:hAnsiTheme="minorHAnsi" w:cstheme="minorHAnsi"/>
        </w:rPr>
        <w:fldChar w:fldCharType="begin"/>
      </w:r>
      <w:r w:rsidRPr="0030072A">
        <w:rPr>
          <w:rFonts w:asciiTheme="minorHAnsi" w:hAnsiTheme="minorHAnsi" w:cstheme="minorHAnsi"/>
        </w:rPr>
        <w:instrText xml:space="preserve"> REF _Ref92379734 \r \h  \* MERGEFORMAT </w:instrText>
      </w:r>
      <w:r w:rsidRPr="0030072A">
        <w:rPr>
          <w:rFonts w:asciiTheme="minorHAnsi" w:hAnsiTheme="minorHAnsi" w:cstheme="minorHAnsi"/>
        </w:rPr>
      </w:r>
      <w:r w:rsidRPr="0030072A">
        <w:rPr>
          <w:rFonts w:asciiTheme="minorHAnsi" w:hAnsiTheme="minorHAnsi" w:cstheme="minorHAnsi"/>
        </w:rPr>
        <w:fldChar w:fldCharType="separate"/>
      </w:r>
      <w:r w:rsidRPr="0030072A">
        <w:rPr>
          <w:rFonts w:asciiTheme="minorHAnsi" w:hAnsiTheme="minorHAnsi" w:cstheme="minorHAnsi"/>
        </w:rPr>
        <w:t>[1]</w:t>
      </w:r>
      <w:r w:rsidRPr="0030072A">
        <w:rPr>
          <w:rFonts w:asciiTheme="minorHAnsi" w:hAnsiTheme="minorHAnsi" w:cstheme="minorHAnsi"/>
        </w:rPr>
        <w:fldChar w:fldCharType="end"/>
      </w:r>
      <w:r w:rsidRPr="0030072A">
        <w:rPr>
          <w:rFonts w:asciiTheme="minorHAnsi" w:hAnsiTheme="minorHAnsi" w:cstheme="minorHAnsi"/>
        </w:rPr>
        <w:t xml:space="preserve">: </w:t>
      </w:r>
    </w:p>
    <w:p w14:paraId="3A02A547" w14:textId="77777777" w:rsidR="00E06B61" w:rsidRPr="0030072A" w:rsidRDefault="00E06B61" w:rsidP="00E06B61">
      <w:pPr>
        <w:pStyle w:val="Doc-text2"/>
        <w:ind w:left="0" w:firstLine="0"/>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E06B61" w:rsidRPr="0030072A" w14:paraId="197FA159" w14:textId="77777777" w:rsidTr="008F6775">
        <w:tc>
          <w:tcPr>
            <w:tcW w:w="9629" w:type="dxa"/>
          </w:tcPr>
          <w:p w14:paraId="128B6F4F" w14:textId="77777777" w:rsidR="00E06B61" w:rsidRPr="0030072A" w:rsidRDefault="00E06B61" w:rsidP="008F6775">
            <w:pPr>
              <w:rPr>
                <w:rFonts w:asciiTheme="minorHAnsi" w:hAnsiTheme="minorHAnsi" w:cstheme="minorHAnsi"/>
                <w:b/>
                <w:iCs/>
              </w:rPr>
            </w:pPr>
            <w:r w:rsidRPr="0030072A">
              <w:rPr>
                <w:rFonts w:asciiTheme="minorHAnsi" w:hAnsiTheme="minorHAnsi" w:cstheme="minorHAnsi"/>
                <w:b/>
                <w:iCs/>
              </w:rPr>
              <w:t>Agreements:</w:t>
            </w:r>
          </w:p>
          <w:p w14:paraId="0A39ED5D" w14:textId="77777777" w:rsidR="00E06B61" w:rsidRPr="0030072A" w:rsidRDefault="00E06B61" w:rsidP="008F6775">
            <w:pPr>
              <w:ind w:left="454" w:hanging="454"/>
              <w:rPr>
                <w:rFonts w:asciiTheme="minorHAnsi" w:hAnsiTheme="minorHAnsi" w:cstheme="minorHAnsi"/>
                <w:bCs/>
                <w:iCs/>
              </w:rPr>
            </w:pPr>
            <w:r w:rsidRPr="0030072A">
              <w:rPr>
                <w:rFonts w:asciiTheme="minorHAnsi" w:hAnsiTheme="minorHAnsi" w:cstheme="minorHAnsi"/>
                <w:bCs/>
                <w:iCs/>
              </w:rPr>
              <w:t>•</w:t>
            </w:r>
            <w:r w:rsidRPr="0030072A">
              <w:rPr>
                <w:rFonts w:asciiTheme="minorHAnsi" w:hAnsiTheme="minorHAnsi" w:cstheme="minorHAnsi"/>
                <w:bCs/>
                <w:iCs/>
              </w:rPr>
              <w:tab/>
              <w:t>RAN2 confirms that the following will be supported: discontinuous coverage without excessive UE power consumption and without excessive failures / recovery actions. It is expected that this need to be taken into account at least for Idle mode. The requirement is applicable for all reference scenarios (GEO, MEO and LEO).</w:t>
            </w:r>
          </w:p>
          <w:p w14:paraId="6B53BD15" w14:textId="77777777" w:rsidR="00E06B61" w:rsidRPr="0030072A" w:rsidRDefault="00E06B61" w:rsidP="008F6775">
            <w:pPr>
              <w:ind w:left="454" w:hanging="454"/>
              <w:rPr>
                <w:rFonts w:asciiTheme="minorHAnsi" w:hAnsiTheme="minorHAnsi" w:cstheme="minorHAnsi"/>
                <w:bCs/>
                <w:iCs/>
              </w:rPr>
            </w:pPr>
            <w:r w:rsidRPr="0030072A">
              <w:rPr>
                <w:rFonts w:asciiTheme="minorHAnsi" w:hAnsiTheme="minorHAnsi" w:cstheme="minorHAnsi"/>
                <w:bCs/>
                <w:iCs/>
              </w:rPr>
              <w:t>•</w:t>
            </w:r>
            <w:r w:rsidRPr="0030072A">
              <w:rPr>
                <w:rFonts w:asciiTheme="minorHAnsi" w:hAnsiTheme="minorHAnsi" w:cstheme="minorHAnsi"/>
                <w:bCs/>
                <w:iCs/>
              </w:rPr>
              <w:tab/>
              <w:t>Sattelite assistance information will be used by the UE for predicting coverage discontinuity. The details of the assistance information is FFS. FFS whether any applicable agreements made in NR-NTN can be reused.</w:t>
            </w:r>
          </w:p>
          <w:p w14:paraId="0689C698" w14:textId="77777777" w:rsidR="00E06B61" w:rsidRPr="0030072A" w:rsidRDefault="00E06B61" w:rsidP="008F6775">
            <w:pPr>
              <w:ind w:left="454" w:hanging="454"/>
              <w:rPr>
                <w:rFonts w:asciiTheme="minorHAnsi" w:hAnsiTheme="minorHAnsi" w:cstheme="minorHAnsi"/>
                <w:bCs/>
                <w:iCs/>
              </w:rPr>
            </w:pPr>
            <w:r w:rsidRPr="0030072A">
              <w:rPr>
                <w:rFonts w:asciiTheme="minorHAnsi" w:hAnsiTheme="minorHAnsi" w:cstheme="minorHAnsi"/>
                <w:bCs/>
                <w:iCs/>
              </w:rPr>
              <w:t>•</w:t>
            </w:r>
            <w:r w:rsidRPr="0030072A">
              <w:rPr>
                <w:rFonts w:asciiTheme="minorHAnsi" w:hAnsiTheme="minorHAnsi" w:cstheme="minorHAnsi"/>
                <w:bCs/>
                <w:iCs/>
              </w:rPr>
              <w:tab/>
              <w:t xml:space="preserve">The details of UEs actions when predicted to be out of coverage is FFS, e.g. stopping unnecessary cell search in the Idle mode, and FFS to what extent this need to be specified. </w:t>
            </w:r>
          </w:p>
          <w:p w14:paraId="6E946159" w14:textId="77777777" w:rsidR="00E06B61" w:rsidRPr="0030072A" w:rsidRDefault="00E06B61" w:rsidP="008F6775">
            <w:pPr>
              <w:ind w:left="454" w:hanging="454"/>
              <w:rPr>
                <w:rFonts w:asciiTheme="minorHAnsi" w:hAnsiTheme="minorHAnsi" w:cstheme="minorHAnsi"/>
                <w:bCs/>
                <w:iCs/>
              </w:rPr>
            </w:pPr>
            <w:r w:rsidRPr="0030072A">
              <w:rPr>
                <w:rFonts w:asciiTheme="minorHAnsi" w:hAnsiTheme="minorHAnsi" w:cstheme="minorHAnsi"/>
                <w:bCs/>
                <w:iCs/>
              </w:rPr>
              <w:t>•</w:t>
            </w:r>
            <w:r w:rsidRPr="0030072A">
              <w:rPr>
                <w:rFonts w:asciiTheme="minorHAnsi" w:hAnsiTheme="minorHAnsi" w:cstheme="minorHAnsi"/>
                <w:bCs/>
                <w:iCs/>
              </w:rPr>
              <w:tab/>
              <w:t>It is FFS to what extent it need to be specified the details of UE’s prediction of discontinuous coverage and its ability to detect when it is back in coverage.</w:t>
            </w:r>
          </w:p>
          <w:p w14:paraId="4D679302" w14:textId="77777777" w:rsidR="00E06B61" w:rsidRPr="0030072A" w:rsidRDefault="00E06B61" w:rsidP="008F6775">
            <w:pPr>
              <w:ind w:left="454" w:hanging="454"/>
              <w:rPr>
                <w:rFonts w:asciiTheme="minorHAnsi" w:hAnsiTheme="minorHAnsi" w:cstheme="minorHAnsi"/>
                <w:b/>
                <w:iCs/>
              </w:rPr>
            </w:pPr>
            <w:r w:rsidRPr="0030072A">
              <w:rPr>
                <w:rFonts w:asciiTheme="minorHAnsi" w:hAnsiTheme="minorHAnsi" w:cstheme="minorHAnsi"/>
                <w:bCs/>
                <w:iCs/>
              </w:rPr>
              <w:t>•</w:t>
            </w:r>
            <w:r w:rsidRPr="0030072A">
              <w:rPr>
                <w:rFonts w:asciiTheme="minorHAnsi" w:hAnsiTheme="minorHAnsi" w:cstheme="minorHAnsi"/>
                <w:bCs/>
                <w:iCs/>
              </w:rPr>
              <w:tab/>
              <w:t>RAN2 sends an LS to SA2 and CT1 (cc: RAN3) for the possible alignment work in their specification due to the support of discontinuous coverage.</w:t>
            </w:r>
          </w:p>
        </w:tc>
      </w:tr>
    </w:tbl>
    <w:p w14:paraId="505DA334" w14:textId="77777777" w:rsidR="00E06B61" w:rsidRPr="0030072A" w:rsidRDefault="00E06B61" w:rsidP="00E06B61">
      <w:pPr>
        <w:jc w:val="both"/>
        <w:rPr>
          <w:rFonts w:asciiTheme="minorHAnsi" w:hAnsiTheme="minorHAnsi" w:cstheme="minorHAnsi"/>
        </w:rPr>
      </w:pPr>
    </w:p>
    <w:p w14:paraId="334AF3DC" w14:textId="77777777" w:rsidR="00E06B61" w:rsidRPr="0030072A" w:rsidRDefault="00E06B61" w:rsidP="00E06B61">
      <w:pPr>
        <w:jc w:val="both"/>
        <w:rPr>
          <w:rFonts w:asciiTheme="minorHAnsi" w:hAnsiTheme="minorHAnsi" w:cstheme="minorHAnsi"/>
        </w:rPr>
      </w:pPr>
      <w:r w:rsidRPr="0030072A">
        <w:rPr>
          <w:rFonts w:asciiTheme="minorHAnsi" w:hAnsiTheme="minorHAnsi" w:cstheme="minorHAnsi"/>
        </w:rPr>
        <w:t xml:space="preserve">In RAN2#116-e the following agreements were made </w:t>
      </w:r>
      <w:r w:rsidRPr="0030072A">
        <w:rPr>
          <w:rFonts w:asciiTheme="minorHAnsi" w:hAnsiTheme="minorHAnsi" w:cstheme="minorHAnsi"/>
        </w:rPr>
        <w:fldChar w:fldCharType="begin"/>
      </w:r>
      <w:r w:rsidRPr="0030072A">
        <w:rPr>
          <w:rFonts w:asciiTheme="minorHAnsi" w:hAnsiTheme="minorHAnsi" w:cstheme="minorHAnsi"/>
        </w:rPr>
        <w:instrText xml:space="preserve"> REF _Ref92379741 \r \h  \* MERGEFORMAT </w:instrText>
      </w:r>
      <w:r w:rsidRPr="0030072A">
        <w:rPr>
          <w:rFonts w:asciiTheme="minorHAnsi" w:hAnsiTheme="minorHAnsi" w:cstheme="minorHAnsi"/>
        </w:rPr>
      </w:r>
      <w:r w:rsidRPr="0030072A">
        <w:rPr>
          <w:rFonts w:asciiTheme="minorHAnsi" w:hAnsiTheme="minorHAnsi" w:cstheme="minorHAnsi"/>
        </w:rPr>
        <w:fldChar w:fldCharType="separate"/>
      </w:r>
      <w:r w:rsidRPr="0030072A">
        <w:rPr>
          <w:rFonts w:asciiTheme="minorHAnsi" w:hAnsiTheme="minorHAnsi" w:cstheme="minorHAnsi"/>
        </w:rPr>
        <w:t>[2]</w:t>
      </w:r>
      <w:r w:rsidRPr="0030072A">
        <w:rPr>
          <w:rFonts w:asciiTheme="minorHAnsi" w:hAnsiTheme="minorHAnsi" w:cstheme="minorHAnsi"/>
        </w:rPr>
        <w:fldChar w:fldCharType="end"/>
      </w:r>
      <w:r w:rsidRPr="0030072A">
        <w:rPr>
          <w:rFonts w:asciiTheme="minorHAnsi" w:hAnsiTheme="minorHAnsi" w:cstheme="minorHAnsi"/>
        </w:rPr>
        <w:t xml:space="preserve">: </w:t>
      </w:r>
    </w:p>
    <w:p w14:paraId="5D79FCF6" w14:textId="77777777" w:rsidR="00E06B61" w:rsidRPr="0030072A" w:rsidRDefault="00E06B61" w:rsidP="00E06B61">
      <w:pPr>
        <w:jc w:val="both"/>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E06B61" w:rsidRPr="0030072A" w14:paraId="7CEB1F3D" w14:textId="77777777" w:rsidTr="008F6775">
        <w:tc>
          <w:tcPr>
            <w:tcW w:w="9629" w:type="dxa"/>
          </w:tcPr>
          <w:p w14:paraId="2BEA527E" w14:textId="77777777" w:rsidR="00E06B61" w:rsidRPr="0030072A" w:rsidRDefault="00E06B61" w:rsidP="008F6775">
            <w:pPr>
              <w:rPr>
                <w:rFonts w:asciiTheme="minorHAnsi" w:hAnsiTheme="minorHAnsi" w:cstheme="minorHAnsi"/>
                <w:b/>
                <w:iCs/>
              </w:rPr>
            </w:pPr>
            <w:r w:rsidRPr="0030072A">
              <w:rPr>
                <w:rFonts w:asciiTheme="minorHAnsi" w:hAnsiTheme="minorHAnsi" w:cstheme="minorHAnsi"/>
                <w:b/>
                <w:iCs/>
              </w:rPr>
              <w:t>Agreements:</w:t>
            </w:r>
          </w:p>
          <w:p w14:paraId="576B7F8B" w14:textId="77777777" w:rsidR="00E06B61" w:rsidRPr="0030072A" w:rsidRDefault="00E06B61" w:rsidP="00E06B61">
            <w:pPr>
              <w:pStyle w:val="ListParagraph"/>
              <w:numPr>
                <w:ilvl w:val="0"/>
                <w:numId w:val="14"/>
              </w:numPr>
              <w:jc w:val="both"/>
              <w:rPr>
                <w:rFonts w:asciiTheme="minorHAnsi" w:hAnsiTheme="minorHAnsi" w:cstheme="minorHAnsi"/>
                <w:sz w:val="20"/>
                <w:szCs w:val="20"/>
              </w:rPr>
            </w:pPr>
            <w:r w:rsidRPr="0030072A">
              <w:rPr>
                <w:rFonts w:asciiTheme="minorHAnsi" w:hAnsiTheme="minorHAnsi" w:cstheme="minorHAnsi"/>
                <w:sz w:val="20"/>
                <w:szCs w:val="20"/>
              </w:rPr>
              <w:t xml:space="preserve">Satellite Ephemeris Parameters (not same as for L1 pre-compensation, for the constellation, not just single satellite) is needed for the UE for predicting coverage discontinuity. Other info, e.g. beam info, elevation angle, reference location or corresponding is FFS. </w:t>
            </w:r>
          </w:p>
          <w:p w14:paraId="5208D42E" w14:textId="77777777" w:rsidR="00E06B61" w:rsidRPr="0030072A" w:rsidRDefault="00E06B61" w:rsidP="00E06B61">
            <w:pPr>
              <w:pStyle w:val="ListParagraph"/>
              <w:numPr>
                <w:ilvl w:val="0"/>
                <w:numId w:val="14"/>
              </w:numPr>
              <w:jc w:val="both"/>
              <w:rPr>
                <w:rFonts w:asciiTheme="minorHAnsi" w:hAnsiTheme="minorHAnsi" w:cstheme="minorHAnsi"/>
                <w:sz w:val="20"/>
                <w:szCs w:val="20"/>
              </w:rPr>
            </w:pPr>
            <w:r w:rsidRPr="0030072A">
              <w:rPr>
                <w:rFonts w:asciiTheme="minorHAnsi" w:hAnsiTheme="minorHAnsi" w:cstheme="minorHAnsi"/>
                <w:sz w:val="20"/>
                <w:szCs w:val="20"/>
              </w:rPr>
              <w:t>Providing the start-time of (incoming) satellite’s coverage and end-time of serving satellite’s coverage is needed for Quasi-Earth Fixed satellites.</w:t>
            </w:r>
          </w:p>
          <w:p w14:paraId="37C0DD00" w14:textId="77777777" w:rsidR="00E06B61" w:rsidRPr="0030072A" w:rsidRDefault="00E06B61" w:rsidP="00E06B61">
            <w:pPr>
              <w:pStyle w:val="ListParagraph"/>
              <w:numPr>
                <w:ilvl w:val="0"/>
                <w:numId w:val="14"/>
              </w:numPr>
              <w:jc w:val="both"/>
              <w:rPr>
                <w:rFonts w:asciiTheme="minorHAnsi" w:hAnsiTheme="minorHAnsi" w:cstheme="minorHAnsi"/>
                <w:sz w:val="20"/>
                <w:szCs w:val="20"/>
              </w:rPr>
            </w:pPr>
            <w:r w:rsidRPr="0030072A">
              <w:rPr>
                <w:rFonts w:asciiTheme="minorHAnsi" w:hAnsiTheme="minorHAnsi" w:cstheme="minorHAnsi"/>
                <w:sz w:val="20"/>
                <w:szCs w:val="20"/>
                <w:highlight w:val="yellow"/>
              </w:rPr>
              <w:t>From RAN2 point of view, the existing power saving mechanisms e.g. DRX, PSM, eDRX, relaxed monitoring, and WUS can be reused in IoT-NTN. Minor enhancements in existing power saving mechanisms to support discontinuous coverage is FFS.</w:t>
            </w:r>
          </w:p>
        </w:tc>
      </w:tr>
    </w:tbl>
    <w:p w14:paraId="631A69FC" w14:textId="77777777" w:rsidR="00E06B61" w:rsidRPr="0030072A" w:rsidRDefault="00E06B61" w:rsidP="00E06B61">
      <w:pPr>
        <w:jc w:val="both"/>
        <w:rPr>
          <w:rFonts w:asciiTheme="minorHAnsi" w:hAnsiTheme="minorHAnsi" w:cstheme="minorHAnsi"/>
        </w:rPr>
      </w:pPr>
    </w:p>
    <w:p w14:paraId="0760C816" w14:textId="77777777" w:rsidR="00E06B61" w:rsidRPr="0030072A" w:rsidRDefault="00E06B61" w:rsidP="00E06B61">
      <w:pPr>
        <w:jc w:val="both"/>
        <w:rPr>
          <w:rFonts w:asciiTheme="minorHAnsi" w:hAnsiTheme="minorHAnsi" w:cstheme="minorHAnsi"/>
        </w:rPr>
      </w:pPr>
      <w:r w:rsidRPr="0030072A">
        <w:rPr>
          <w:rFonts w:asciiTheme="minorHAnsi" w:hAnsiTheme="minorHAnsi" w:cstheme="minorHAnsi"/>
        </w:rPr>
        <w:t xml:space="preserve">In RAN2#116bis-e the following agreements were made </w:t>
      </w:r>
      <w:r w:rsidRPr="0030072A">
        <w:rPr>
          <w:rFonts w:asciiTheme="minorHAnsi" w:hAnsiTheme="minorHAnsi" w:cstheme="minorHAnsi"/>
        </w:rPr>
        <w:fldChar w:fldCharType="begin"/>
      </w:r>
      <w:r w:rsidRPr="0030072A">
        <w:rPr>
          <w:rFonts w:asciiTheme="minorHAnsi" w:hAnsiTheme="minorHAnsi" w:cstheme="minorHAnsi"/>
        </w:rPr>
        <w:instrText xml:space="preserve"> REF _Ref95398836 \r \h  \* MERGEFORMAT </w:instrText>
      </w:r>
      <w:r w:rsidRPr="0030072A">
        <w:rPr>
          <w:rFonts w:asciiTheme="minorHAnsi" w:hAnsiTheme="minorHAnsi" w:cstheme="minorHAnsi"/>
        </w:rPr>
      </w:r>
      <w:r w:rsidRPr="0030072A">
        <w:rPr>
          <w:rFonts w:asciiTheme="minorHAnsi" w:hAnsiTheme="minorHAnsi" w:cstheme="minorHAnsi"/>
        </w:rPr>
        <w:fldChar w:fldCharType="separate"/>
      </w:r>
      <w:r w:rsidRPr="0030072A">
        <w:rPr>
          <w:rFonts w:asciiTheme="minorHAnsi" w:hAnsiTheme="minorHAnsi" w:cstheme="minorHAnsi"/>
        </w:rPr>
        <w:t>[3]</w:t>
      </w:r>
      <w:r w:rsidRPr="0030072A">
        <w:rPr>
          <w:rFonts w:asciiTheme="minorHAnsi" w:hAnsiTheme="minorHAnsi" w:cstheme="minorHAnsi"/>
        </w:rPr>
        <w:fldChar w:fldCharType="end"/>
      </w:r>
      <w:r w:rsidRPr="0030072A">
        <w:rPr>
          <w:rFonts w:asciiTheme="minorHAnsi" w:hAnsiTheme="minorHAnsi" w:cstheme="minorHAnsi"/>
        </w:rPr>
        <w:t xml:space="preserve">: </w:t>
      </w:r>
    </w:p>
    <w:p w14:paraId="26E897CF" w14:textId="77777777" w:rsidR="00E06B61" w:rsidRPr="0030072A" w:rsidRDefault="00E06B61" w:rsidP="00E06B61">
      <w:pPr>
        <w:jc w:val="both"/>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E06B61" w:rsidRPr="0030072A" w14:paraId="1244673C" w14:textId="77777777" w:rsidTr="008F6775">
        <w:tc>
          <w:tcPr>
            <w:tcW w:w="9629" w:type="dxa"/>
          </w:tcPr>
          <w:p w14:paraId="4414B34B" w14:textId="77777777" w:rsidR="00E06B61" w:rsidRPr="0030072A" w:rsidRDefault="00E06B61" w:rsidP="008F6775">
            <w:pPr>
              <w:rPr>
                <w:rFonts w:asciiTheme="minorHAnsi" w:hAnsiTheme="minorHAnsi" w:cstheme="minorHAnsi"/>
                <w:b/>
                <w:iCs/>
              </w:rPr>
            </w:pPr>
            <w:r w:rsidRPr="0030072A">
              <w:rPr>
                <w:rFonts w:asciiTheme="minorHAnsi" w:hAnsiTheme="minorHAnsi" w:cstheme="minorHAnsi"/>
                <w:b/>
                <w:iCs/>
              </w:rPr>
              <w:t>Agreements:</w:t>
            </w:r>
          </w:p>
          <w:p w14:paraId="692F2EF1" w14:textId="77777777" w:rsidR="00E06B61" w:rsidRPr="0030072A" w:rsidRDefault="00E06B61" w:rsidP="00E06B61">
            <w:pPr>
              <w:pStyle w:val="ListParagraph"/>
              <w:numPr>
                <w:ilvl w:val="0"/>
                <w:numId w:val="15"/>
              </w:numPr>
              <w:jc w:val="both"/>
              <w:rPr>
                <w:rFonts w:asciiTheme="minorHAnsi" w:hAnsiTheme="minorHAnsi" w:cstheme="minorHAnsi"/>
                <w:sz w:val="20"/>
                <w:szCs w:val="20"/>
              </w:rPr>
            </w:pPr>
            <w:r w:rsidRPr="0030072A">
              <w:rPr>
                <w:rFonts w:asciiTheme="minorHAnsi" w:hAnsiTheme="minorHAnsi" w:cstheme="minorHAnsi"/>
                <w:sz w:val="20"/>
                <w:szCs w:val="20"/>
              </w:rPr>
              <w:t>The contents of the ephemeris / assistance info for non-continuous coverage:</w:t>
            </w:r>
          </w:p>
          <w:p w14:paraId="5228C691" w14:textId="77777777" w:rsidR="00E06B61" w:rsidRPr="0030072A" w:rsidRDefault="00E06B61" w:rsidP="00E06B61">
            <w:pPr>
              <w:pStyle w:val="ListParagraph"/>
              <w:numPr>
                <w:ilvl w:val="0"/>
                <w:numId w:val="15"/>
              </w:numPr>
              <w:jc w:val="both"/>
              <w:rPr>
                <w:rFonts w:asciiTheme="minorHAnsi" w:hAnsiTheme="minorHAnsi" w:cstheme="minorHAnsi"/>
                <w:sz w:val="20"/>
                <w:szCs w:val="20"/>
              </w:rPr>
            </w:pPr>
            <w:r w:rsidRPr="0030072A">
              <w:rPr>
                <w:rFonts w:asciiTheme="minorHAnsi" w:hAnsiTheme="minorHAnsi" w:cstheme="minorHAnsi"/>
                <w:sz w:val="20"/>
                <w:szCs w:val="20"/>
              </w:rPr>
              <w:t xml:space="preserve">Confirm that we Reuse the satellite ephemeris orbital parameters, already agreed for UL pre-compensation, for multiple satellites (Ref L1 params from R1). </w:t>
            </w:r>
          </w:p>
          <w:p w14:paraId="01567B8D" w14:textId="77777777" w:rsidR="00E06B61" w:rsidRPr="0030072A" w:rsidRDefault="00E06B61" w:rsidP="00E06B61">
            <w:pPr>
              <w:pStyle w:val="ListParagraph"/>
              <w:numPr>
                <w:ilvl w:val="0"/>
                <w:numId w:val="15"/>
              </w:numPr>
              <w:jc w:val="both"/>
              <w:rPr>
                <w:rFonts w:asciiTheme="minorHAnsi" w:hAnsiTheme="minorHAnsi" w:cstheme="minorHAnsi"/>
                <w:sz w:val="20"/>
                <w:szCs w:val="20"/>
              </w:rPr>
            </w:pPr>
            <w:r w:rsidRPr="0030072A">
              <w:rPr>
                <w:rFonts w:asciiTheme="minorHAnsi" w:hAnsiTheme="minorHAnsi" w:cstheme="minorHAnsi"/>
                <w:sz w:val="20"/>
                <w:szCs w:val="20"/>
              </w:rPr>
              <w:t>FFS on the maximum number of satellites, whose ephemeris information will be provided.</w:t>
            </w:r>
          </w:p>
          <w:p w14:paraId="6DCE7FA6" w14:textId="77777777" w:rsidR="00E06B61" w:rsidRPr="0030072A" w:rsidRDefault="00E06B61" w:rsidP="00E06B61">
            <w:pPr>
              <w:pStyle w:val="ListParagraph"/>
              <w:numPr>
                <w:ilvl w:val="0"/>
                <w:numId w:val="15"/>
              </w:numPr>
              <w:jc w:val="both"/>
              <w:rPr>
                <w:rFonts w:asciiTheme="minorHAnsi" w:hAnsiTheme="minorHAnsi" w:cstheme="minorHAnsi"/>
                <w:sz w:val="20"/>
                <w:szCs w:val="20"/>
              </w:rPr>
            </w:pPr>
            <w:r w:rsidRPr="0030072A">
              <w:rPr>
                <w:rFonts w:asciiTheme="minorHAnsi" w:hAnsiTheme="minorHAnsi" w:cstheme="minorHAnsi"/>
                <w:sz w:val="20"/>
                <w:szCs w:val="20"/>
              </w:rPr>
              <w:t>FFS whether avg ephemeris (using same format as instant) + alamanc can be used (Gatehouse Proposal)</w:t>
            </w:r>
          </w:p>
          <w:p w14:paraId="260402B0" w14:textId="77777777" w:rsidR="00E06B61" w:rsidRPr="0030072A" w:rsidRDefault="00E06B61" w:rsidP="00E06B61">
            <w:pPr>
              <w:pStyle w:val="ListParagraph"/>
              <w:numPr>
                <w:ilvl w:val="0"/>
                <w:numId w:val="15"/>
              </w:numPr>
              <w:jc w:val="both"/>
              <w:rPr>
                <w:rFonts w:asciiTheme="minorHAnsi" w:hAnsiTheme="minorHAnsi" w:cstheme="minorHAnsi"/>
                <w:sz w:val="20"/>
                <w:szCs w:val="20"/>
              </w:rPr>
            </w:pPr>
            <w:r w:rsidRPr="0030072A">
              <w:rPr>
                <w:rFonts w:asciiTheme="minorHAnsi" w:hAnsiTheme="minorHAnsi" w:cstheme="minorHAnsi"/>
                <w:sz w:val="20"/>
                <w:szCs w:val="20"/>
              </w:rPr>
              <w:t xml:space="preserve">FFS how to signal this (new SIB for this particular purpose, dedicated signalling). </w:t>
            </w:r>
          </w:p>
          <w:p w14:paraId="02E7D0DD" w14:textId="77777777" w:rsidR="00E06B61" w:rsidRPr="0030072A" w:rsidRDefault="00E06B61" w:rsidP="00E06B61">
            <w:pPr>
              <w:pStyle w:val="ListParagraph"/>
              <w:numPr>
                <w:ilvl w:val="0"/>
                <w:numId w:val="15"/>
              </w:numPr>
              <w:jc w:val="both"/>
              <w:rPr>
                <w:rFonts w:asciiTheme="minorHAnsi" w:hAnsiTheme="minorHAnsi" w:cstheme="minorHAnsi"/>
                <w:sz w:val="20"/>
                <w:szCs w:val="20"/>
              </w:rPr>
            </w:pPr>
            <w:r w:rsidRPr="0030072A">
              <w:rPr>
                <w:rFonts w:asciiTheme="minorHAnsi" w:hAnsiTheme="minorHAnsi" w:cstheme="minorHAnsi"/>
                <w:sz w:val="20"/>
                <w:szCs w:val="20"/>
              </w:rPr>
              <w:t>FFS if to introduce additional new parameters like satellite footprint reference point on ground, satellite coverage radius etc.</w:t>
            </w:r>
          </w:p>
        </w:tc>
      </w:tr>
    </w:tbl>
    <w:p w14:paraId="65391E12" w14:textId="77777777" w:rsidR="00E06B61" w:rsidRPr="0030072A" w:rsidRDefault="00E06B61" w:rsidP="00E06B61">
      <w:pPr>
        <w:jc w:val="both"/>
        <w:rPr>
          <w:rFonts w:asciiTheme="minorHAnsi" w:hAnsiTheme="minorHAnsi" w:cstheme="minorHAnsi"/>
        </w:rPr>
      </w:pPr>
    </w:p>
    <w:p w14:paraId="5B438F00" w14:textId="1F52DA94" w:rsidR="00E06B61" w:rsidRPr="0030072A" w:rsidRDefault="00E06B61" w:rsidP="00E06B61">
      <w:pPr>
        <w:jc w:val="both"/>
        <w:rPr>
          <w:rFonts w:asciiTheme="minorHAnsi" w:hAnsiTheme="minorHAnsi" w:cstheme="minorHAnsi"/>
        </w:rPr>
      </w:pPr>
      <w:r w:rsidRPr="0030072A">
        <w:rPr>
          <w:rFonts w:asciiTheme="minorHAnsi" w:hAnsiTheme="minorHAnsi" w:cstheme="minorHAnsi"/>
        </w:rPr>
        <w:t xml:space="preserve">The R18 WID has been approved in RAN </w:t>
      </w:r>
      <w:r w:rsidRPr="0030072A">
        <w:rPr>
          <w:rFonts w:asciiTheme="minorHAnsi" w:hAnsiTheme="minorHAnsi" w:cstheme="minorHAnsi"/>
        </w:rPr>
        <w:fldChar w:fldCharType="begin"/>
      </w:r>
      <w:r w:rsidRPr="0030072A">
        <w:rPr>
          <w:rFonts w:asciiTheme="minorHAnsi" w:hAnsiTheme="minorHAnsi" w:cstheme="minorHAnsi"/>
        </w:rPr>
        <w:instrText xml:space="preserve"> REF _Ref95398842 \r \h </w:instrText>
      </w:r>
      <w:r w:rsidR="0030072A">
        <w:rPr>
          <w:rFonts w:asciiTheme="minorHAnsi" w:hAnsiTheme="minorHAnsi" w:cstheme="minorHAnsi"/>
        </w:rPr>
        <w:instrText xml:space="preserve"> \* MERGEFORMAT </w:instrText>
      </w:r>
      <w:r w:rsidRPr="0030072A">
        <w:rPr>
          <w:rFonts w:asciiTheme="minorHAnsi" w:hAnsiTheme="minorHAnsi" w:cstheme="minorHAnsi"/>
        </w:rPr>
      </w:r>
      <w:r w:rsidRPr="0030072A">
        <w:rPr>
          <w:rFonts w:asciiTheme="minorHAnsi" w:hAnsiTheme="minorHAnsi" w:cstheme="minorHAnsi"/>
        </w:rPr>
        <w:fldChar w:fldCharType="separate"/>
      </w:r>
      <w:r w:rsidRPr="0030072A">
        <w:rPr>
          <w:rFonts w:asciiTheme="minorHAnsi" w:hAnsiTheme="minorHAnsi" w:cstheme="minorHAnsi"/>
        </w:rPr>
        <w:t>[4]</w:t>
      </w:r>
      <w:r w:rsidRPr="0030072A">
        <w:rPr>
          <w:rFonts w:asciiTheme="minorHAnsi" w:hAnsiTheme="minorHAnsi" w:cstheme="minorHAnsi"/>
        </w:rPr>
        <w:fldChar w:fldCharType="end"/>
      </w:r>
      <w:r w:rsidRPr="0030072A">
        <w:rPr>
          <w:rFonts w:asciiTheme="minorHAnsi" w:hAnsiTheme="minorHAnsi" w:cstheme="minorHAnsi"/>
        </w:rPr>
        <w:t xml:space="preserve"> with the following placeholder for discontinuous coverage enhancements:</w:t>
      </w:r>
    </w:p>
    <w:tbl>
      <w:tblPr>
        <w:tblStyle w:val="TableGrid"/>
        <w:tblW w:w="0" w:type="auto"/>
        <w:tblLook w:val="04A0" w:firstRow="1" w:lastRow="0" w:firstColumn="1" w:lastColumn="0" w:noHBand="0" w:noVBand="1"/>
      </w:tblPr>
      <w:tblGrid>
        <w:gridCol w:w="9629"/>
      </w:tblGrid>
      <w:tr w:rsidR="00E06B61" w:rsidRPr="0030072A" w14:paraId="3E0B15D9" w14:textId="77777777" w:rsidTr="008F6775">
        <w:tc>
          <w:tcPr>
            <w:tcW w:w="9629" w:type="dxa"/>
          </w:tcPr>
          <w:p w14:paraId="49D1D382" w14:textId="77777777" w:rsidR="00E06B61" w:rsidRPr="0030072A" w:rsidRDefault="00E06B61" w:rsidP="008F6775">
            <w:pPr>
              <w:rPr>
                <w:rFonts w:asciiTheme="minorHAnsi" w:eastAsia="Times New Roman" w:hAnsiTheme="minorHAnsi" w:cstheme="minorHAnsi"/>
              </w:rPr>
            </w:pPr>
            <w:r w:rsidRPr="0030072A">
              <w:rPr>
                <w:rFonts w:asciiTheme="minorHAnsi" w:hAnsiTheme="minorHAnsi" w:cstheme="minorHAnsi"/>
              </w:rPr>
              <w:t>4.1.3</w:t>
            </w:r>
            <w:r w:rsidRPr="0030072A">
              <w:rPr>
                <w:rFonts w:asciiTheme="minorHAnsi" w:hAnsiTheme="minorHAnsi" w:cstheme="minorHAnsi"/>
              </w:rPr>
              <w:tab/>
              <w:t>Further enhancement to discontinuous coverage</w:t>
            </w:r>
          </w:p>
          <w:p w14:paraId="11ABFA45" w14:textId="77777777" w:rsidR="00E06B61" w:rsidRPr="0030072A" w:rsidRDefault="00E06B61" w:rsidP="008F6775">
            <w:pPr>
              <w:rPr>
                <w:rFonts w:asciiTheme="minorHAnsi" w:hAnsiTheme="minorHAnsi" w:cstheme="minorHAnsi"/>
              </w:rPr>
            </w:pPr>
            <w:r w:rsidRPr="0030072A">
              <w:rPr>
                <w:rFonts w:asciiTheme="minorHAnsi" w:hAnsiTheme="minorHAnsi" w:cstheme="minorHAnsi"/>
              </w:rPr>
              <w:t>This objective will be revisited at RAN#96e / June 2022, subject to Rel-17 IoT-NTN status on discontinuous coverage at RAN#96e, SA#94e, CT#95e.</w:t>
            </w:r>
          </w:p>
          <w:p w14:paraId="0DACECF4" w14:textId="77777777" w:rsidR="00E06B61" w:rsidRPr="0030072A" w:rsidRDefault="00E06B61" w:rsidP="008F6775">
            <w:pPr>
              <w:jc w:val="both"/>
              <w:rPr>
                <w:rFonts w:asciiTheme="minorHAnsi" w:hAnsiTheme="minorHAnsi" w:cstheme="minorHAnsi"/>
              </w:rPr>
            </w:pPr>
          </w:p>
        </w:tc>
      </w:tr>
    </w:tbl>
    <w:p w14:paraId="4A51EB11" w14:textId="77777777" w:rsidR="00E06B61" w:rsidRPr="0030072A" w:rsidRDefault="00E06B61" w:rsidP="00E06B61">
      <w:pPr>
        <w:jc w:val="both"/>
        <w:rPr>
          <w:rFonts w:asciiTheme="minorHAnsi" w:hAnsiTheme="minorHAnsi" w:cstheme="minorHAnsi"/>
        </w:rPr>
      </w:pPr>
    </w:p>
    <w:p w14:paraId="43B3BEB9" w14:textId="0B9EAC19" w:rsidR="00E06B61" w:rsidRPr="0030072A" w:rsidRDefault="00E06B61" w:rsidP="00E06B61">
      <w:pPr>
        <w:jc w:val="both"/>
        <w:rPr>
          <w:rFonts w:asciiTheme="minorHAnsi" w:hAnsiTheme="minorHAnsi" w:cstheme="minorHAnsi"/>
        </w:rPr>
      </w:pPr>
      <w:r w:rsidRPr="0030072A">
        <w:rPr>
          <w:rFonts w:asciiTheme="minorHAnsi" w:hAnsiTheme="minorHAnsi" w:cstheme="minorHAnsi"/>
        </w:rPr>
        <w:t xml:space="preserve">One open issue </w:t>
      </w:r>
      <w:r w:rsidR="00B45DEF" w:rsidRPr="0030072A">
        <w:rPr>
          <w:rFonts w:asciiTheme="minorHAnsi" w:hAnsiTheme="minorHAnsi" w:cstheme="minorHAnsi"/>
        </w:rPr>
        <w:t>had</w:t>
      </w:r>
      <w:r w:rsidRPr="0030072A">
        <w:rPr>
          <w:rFonts w:asciiTheme="minorHAnsi" w:hAnsiTheme="minorHAnsi" w:cstheme="minorHAnsi"/>
        </w:rPr>
        <w:t xml:space="preserve"> been noted for which company TDocs are invited, and this is the focus of this contribution.</w:t>
      </w:r>
    </w:p>
    <w:p w14:paraId="61A886FD" w14:textId="77777777" w:rsidR="00E06B61" w:rsidRPr="0030072A" w:rsidRDefault="00E06B61" w:rsidP="00E06B61">
      <w:pPr>
        <w:pStyle w:val="Comments"/>
        <w:rPr>
          <w:rFonts w:asciiTheme="minorHAnsi" w:hAnsiTheme="minorHAnsi" w:cstheme="minorHAnsi"/>
          <w:lang w:val="en-US"/>
        </w:rPr>
      </w:pPr>
      <w:r w:rsidRPr="0030072A">
        <w:rPr>
          <w:rFonts w:asciiTheme="minorHAnsi" w:hAnsiTheme="minorHAnsi" w:cstheme="minorHAnsi"/>
          <w:lang w:val="en-US"/>
        </w:rPr>
        <w:t>O1 3.5 [Company Tdocs Invited]: Decide on whether additional new parameters like satellite footprint reference point on ground, satellite coverage radius can be used?</w:t>
      </w:r>
    </w:p>
    <w:p w14:paraId="194F7234" w14:textId="294DBD17" w:rsidR="00E06B61" w:rsidRDefault="00E06B61" w:rsidP="00E06B61">
      <w:pPr>
        <w:jc w:val="both"/>
        <w:rPr>
          <w:lang w:val="en-US"/>
        </w:rPr>
      </w:pPr>
    </w:p>
    <w:p w14:paraId="265BD29E" w14:textId="01550903" w:rsidR="00EE12FD" w:rsidRDefault="00EE12FD" w:rsidP="00E06B61">
      <w:pPr>
        <w:jc w:val="both"/>
      </w:pPr>
      <w:r>
        <w:rPr>
          <w:lang w:val="en-US"/>
        </w:rPr>
        <w:t xml:space="preserve">In addition, </w:t>
      </w:r>
      <w:r w:rsidR="00483B96">
        <w:rPr>
          <w:lang w:val="en-US"/>
        </w:rPr>
        <w:t xml:space="preserve">the open issue </w:t>
      </w:r>
      <w:r w:rsidR="00091528">
        <w:rPr>
          <w:lang w:val="en-US"/>
        </w:rPr>
        <w:t>discussed in Pr</w:t>
      </w:r>
      <w:r w:rsidR="00091528">
        <w:t xml:space="preserve">e-117-e </w:t>
      </w:r>
      <w:r w:rsidR="00091528">
        <w:fldChar w:fldCharType="begin"/>
      </w:r>
      <w:r w:rsidR="00091528">
        <w:instrText xml:space="preserve"> REF _Ref95473773 \r \h </w:instrText>
      </w:r>
      <w:r w:rsidR="00091528">
        <w:fldChar w:fldCharType="separate"/>
      </w:r>
      <w:r w:rsidR="00091528">
        <w:t>[6]</w:t>
      </w:r>
      <w:r w:rsidR="00091528">
        <w:fldChar w:fldCharType="end"/>
      </w:r>
      <w:r w:rsidR="00091528">
        <w:t xml:space="preserve"> appears to cover only connected mode, while the behaviour in idle mode is in our opinion more important to address.</w:t>
      </w:r>
    </w:p>
    <w:p w14:paraId="6E3B3CBC" w14:textId="77777777" w:rsidR="00091528" w:rsidRPr="000D31BB" w:rsidRDefault="00091528" w:rsidP="00091528">
      <w:pPr>
        <w:pStyle w:val="Comments"/>
        <w:rPr>
          <w:lang w:val="en-US"/>
        </w:rPr>
      </w:pPr>
      <w:r>
        <w:rPr>
          <w:lang w:val="en-US"/>
        </w:rPr>
        <w:t>OI</w:t>
      </w:r>
      <w:r w:rsidRPr="00EA47B4">
        <w:rPr>
          <w:lang w:val="en-US"/>
        </w:rPr>
        <w:t xml:space="preserve"> 3.4 [Pre117-e-offline]: What will be the UE behavior on receiving this ephemeris information?</w:t>
      </w:r>
    </w:p>
    <w:p w14:paraId="36477409" w14:textId="77777777" w:rsidR="00091528" w:rsidRPr="00B5390A" w:rsidRDefault="00091528" w:rsidP="00E06B61">
      <w:pPr>
        <w:jc w:val="both"/>
        <w:rPr>
          <w:lang w:val="en-US"/>
        </w:rPr>
      </w:pPr>
    </w:p>
    <w:p w14:paraId="17DCE3A6" w14:textId="77777777"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101617F9" w14:textId="77777777" w:rsidR="00E06B61" w:rsidRDefault="00E06B61" w:rsidP="00E06B61">
      <w:r w:rsidRPr="00BC3B93">
        <w:t>An NTN satellite can support multiple cells, where each cell consists of one or more satellite beams. Satellite beams cover a footprint on earth (like a terrestrial cell) and can range in diameter from 100 – 1000 km in LEO deployments, and 200 – 3500 km diameter in GEO deployments. Beam footprints in GEO deployments remain fixed relative to earth, and in LEO deployments the area covered by a beam/cell changes over time due to satellite movement. This beam movement can be classified as “earth moving” where the LEO beam moves continuously across the earth, or “</w:t>
      </w:r>
      <w:r>
        <w:t>quasi-</w:t>
      </w:r>
      <w:r w:rsidRPr="00BC3B93">
        <w:t>earth fixed” where the beam is steered to remain covering a fixed location until a new cell overtakes the coverage area in a discrete and coordinated change.</w:t>
      </w:r>
    </w:p>
    <w:p w14:paraId="3AA25591" w14:textId="77777777" w:rsidR="00E06B61" w:rsidRDefault="00E06B61" w:rsidP="00E06B61"/>
    <w:p w14:paraId="00B978AA" w14:textId="77777777" w:rsidR="00E06B61" w:rsidRDefault="00E06B61" w:rsidP="00E06B61">
      <w:r>
        <w:t>C</w:t>
      </w:r>
      <w:r w:rsidRPr="00BC3B93">
        <w:t>onsidering satellites move with very high velocity, a satellite footprint may only provide coverage to an area for a short time. To provide continuous coverage, many satellites must follow the same orbit to ensure continuous coverage. Considering many orbits are necessary to provide global coverage, a typical LEO satellite constellation would require on the order of several thousand satellites to provide continuous global coverage. In early NTN deployments, especially in deeply rural locations (e.g. high arctic or ocean), it is expected that there will be coverage gaps due to the lack of satellites within an orbit.</w:t>
      </w:r>
      <w:r>
        <w:t xml:space="preserve"> This is illustrated below in Figure 1.</w:t>
      </w:r>
    </w:p>
    <w:p w14:paraId="6656D531" w14:textId="77777777" w:rsidR="00E06B61" w:rsidRDefault="00E06B61" w:rsidP="00E06B61">
      <w:pPr>
        <w:rPr>
          <w:rFonts w:ascii="Arial" w:eastAsia="SimSun" w:hAnsi="Arial" w:cs="Arial"/>
          <w:sz w:val="32"/>
          <w:szCs w:val="32"/>
          <w:lang w:eastAsia="zh-CN"/>
        </w:rPr>
      </w:pPr>
    </w:p>
    <w:p w14:paraId="2C3DA4ED" w14:textId="77777777" w:rsidR="00E06B61" w:rsidRDefault="00E06B61" w:rsidP="00E06B61">
      <w:pPr>
        <w:jc w:val="center"/>
        <w:rPr>
          <w:rFonts w:ascii="Arial" w:eastAsia="SimSun" w:hAnsi="Arial" w:cs="Arial"/>
          <w:sz w:val="32"/>
          <w:szCs w:val="32"/>
          <w:lang w:eastAsia="zh-CN"/>
        </w:rPr>
      </w:pPr>
      <w:r>
        <w:rPr>
          <w:noProof/>
        </w:rPr>
        <w:drawing>
          <wp:inline distT="0" distB="0" distL="0" distR="0" wp14:anchorId="11D81EC2" wp14:editId="2B20A7AF">
            <wp:extent cx="4628926" cy="1420328"/>
            <wp:effectExtent l="0" t="0" r="635" b="8890"/>
            <wp:docPr id="9" name="Picture 9" descr="A picture containing text, scale,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scale, device&#10;&#10;Description automatically generated"/>
                    <pic:cNvPicPr/>
                  </pic:nvPicPr>
                  <pic:blipFill>
                    <a:blip r:embed="rId9"/>
                    <a:stretch>
                      <a:fillRect/>
                    </a:stretch>
                  </pic:blipFill>
                  <pic:spPr>
                    <a:xfrm>
                      <a:off x="0" y="0"/>
                      <a:ext cx="4714902" cy="1446709"/>
                    </a:xfrm>
                    <a:prstGeom prst="rect">
                      <a:avLst/>
                    </a:prstGeom>
                  </pic:spPr>
                </pic:pic>
              </a:graphicData>
            </a:graphic>
          </wp:inline>
        </w:drawing>
      </w:r>
    </w:p>
    <w:p w14:paraId="53ECDB28" w14:textId="77777777" w:rsidR="00E06B61" w:rsidRDefault="00E06B61" w:rsidP="00E06B61">
      <w:pPr>
        <w:jc w:val="center"/>
      </w:pPr>
      <w:r>
        <w:t xml:space="preserve">Figure 1: </w:t>
      </w:r>
      <w:r w:rsidRPr="00BC3B93">
        <w:t xml:space="preserve">UE within an NTN network with </w:t>
      </w:r>
      <w:r>
        <w:t>dis</w:t>
      </w:r>
      <w:r w:rsidRPr="00BC3B93">
        <w:t>continuous coverage.</w:t>
      </w:r>
    </w:p>
    <w:p w14:paraId="40A07D2D" w14:textId="77777777" w:rsidR="00E06B61" w:rsidRDefault="00E06B61" w:rsidP="00E06B61">
      <w:pPr>
        <w:rPr>
          <w:rFonts w:cs="Arial"/>
          <w:b/>
          <w:bCs/>
          <w:iCs/>
          <w:sz w:val="28"/>
          <w:szCs w:val="28"/>
        </w:rPr>
      </w:pPr>
    </w:p>
    <w:p w14:paraId="67EEF38C" w14:textId="77777777" w:rsidR="00E06B61" w:rsidRDefault="00E06B61" w:rsidP="00E06B61">
      <w:pPr>
        <w:pStyle w:val="Heading2"/>
      </w:pPr>
      <w:r>
        <w:t>2.1</w:t>
      </w:r>
      <w:r>
        <w:tab/>
        <w:t>Coverage gap handling</w:t>
      </w:r>
    </w:p>
    <w:p w14:paraId="550237A5" w14:textId="77777777" w:rsidR="00E06B61" w:rsidRDefault="00E06B61" w:rsidP="00E06B61">
      <w:pPr>
        <w:pStyle w:val="Doc-text2"/>
        <w:ind w:left="0" w:firstLine="0"/>
      </w:pPr>
    </w:p>
    <w:p w14:paraId="511DA376" w14:textId="14E151EC" w:rsidR="00E06B61" w:rsidRDefault="00E06B61" w:rsidP="00E06B61">
      <w:pPr>
        <w:pStyle w:val="Doc-text2"/>
        <w:ind w:left="0" w:firstLine="0"/>
      </w:pPr>
      <w:r>
        <w:t>Although one open issue has been marked for discussion during Pre-117-e</w:t>
      </w:r>
      <w:r w:rsidR="00B10C6C">
        <w:t xml:space="preserve"> </w:t>
      </w:r>
      <w:r w:rsidR="00091528">
        <w:fldChar w:fldCharType="begin"/>
      </w:r>
      <w:r w:rsidR="00091528">
        <w:instrText xml:space="preserve"> REF _Ref95473773 \r \h </w:instrText>
      </w:r>
      <w:r w:rsidR="00091528">
        <w:fldChar w:fldCharType="separate"/>
      </w:r>
      <w:r w:rsidR="00091528">
        <w:t>[6]</w:t>
      </w:r>
      <w:r w:rsidR="00091528">
        <w:fldChar w:fldCharType="end"/>
      </w:r>
      <w:r>
        <w:t xml:space="preserve"> open issues the question does not cover </w:t>
      </w:r>
      <w:r w:rsidR="00F83189">
        <w:t xml:space="preserve">idle mode </w:t>
      </w:r>
      <w:r>
        <w:t>but rather proposes</w:t>
      </w:r>
      <w:r w:rsidR="00F83189">
        <w:t xml:space="preserve"> to discuss connected mode</w:t>
      </w:r>
      <w:r>
        <w:t xml:space="preserve"> scenario</w:t>
      </w:r>
      <w:r w:rsidR="00F83189">
        <w:t xml:space="preserve"> </w:t>
      </w:r>
      <w:r>
        <w:t xml:space="preserve">only. </w:t>
      </w:r>
    </w:p>
    <w:p w14:paraId="7914BCA2" w14:textId="77777777" w:rsidR="00E06B61" w:rsidRDefault="00E06B61" w:rsidP="00E06B61">
      <w:pPr>
        <w:pStyle w:val="Doc-text2"/>
        <w:ind w:left="0" w:firstLine="0"/>
      </w:pPr>
    </w:p>
    <w:p w14:paraId="2B9579BB" w14:textId="77777777" w:rsidR="00E06B61" w:rsidRPr="000D31BB" w:rsidRDefault="00E06B61" w:rsidP="00E06B61">
      <w:pPr>
        <w:pStyle w:val="Comments"/>
        <w:rPr>
          <w:lang w:val="en-US"/>
        </w:rPr>
      </w:pPr>
      <w:r>
        <w:rPr>
          <w:lang w:val="en-US"/>
        </w:rPr>
        <w:t>OI</w:t>
      </w:r>
      <w:r w:rsidRPr="00EA47B4">
        <w:rPr>
          <w:lang w:val="en-US"/>
        </w:rPr>
        <w:t xml:space="preserve"> 3.4 [Pre117-e-offline]: What will be the UE behavior on receiving this ephemeris information?</w:t>
      </w:r>
    </w:p>
    <w:tbl>
      <w:tblPr>
        <w:tblStyle w:val="TableGrid"/>
        <w:tblW w:w="0" w:type="auto"/>
        <w:tblLook w:val="04A0" w:firstRow="1" w:lastRow="0" w:firstColumn="1" w:lastColumn="0" w:noHBand="0" w:noVBand="1"/>
      </w:tblPr>
      <w:tblGrid>
        <w:gridCol w:w="9629"/>
      </w:tblGrid>
      <w:tr w:rsidR="00E06B61" w14:paraId="7FF3E21B" w14:textId="77777777" w:rsidTr="008F6775">
        <w:tc>
          <w:tcPr>
            <w:tcW w:w="9629" w:type="dxa"/>
          </w:tcPr>
          <w:p w14:paraId="206BBD8C" w14:textId="77777777" w:rsidR="00E06B61" w:rsidRDefault="00E06B61" w:rsidP="008F6775">
            <w:pPr>
              <w:jc w:val="both"/>
              <w:rPr>
                <w:rFonts w:ascii="Arial" w:eastAsia="Arial" w:hAnsi="Arial" w:cs="Arial"/>
                <w:b/>
                <w:color w:val="000000"/>
              </w:rPr>
            </w:pPr>
            <w:r>
              <w:rPr>
                <w:rFonts w:ascii="Arial" w:eastAsia="Arial" w:hAnsi="Arial" w:cs="Arial"/>
                <w:b/>
                <w:color w:val="000000"/>
              </w:rPr>
              <w:t>Question 4: Regarding UE behaviour in Discontinuous Coverage companies are requested to mention their preference between the two options mentioned below:</w:t>
            </w:r>
          </w:p>
          <w:p w14:paraId="605369B1" w14:textId="77777777" w:rsidR="00E06B61" w:rsidRDefault="00E06B61" w:rsidP="00E06B61">
            <w:pPr>
              <w:pStyle w:val="ListParagraph"/>
              <w:numPr>
                <w:ilvl w:val="0"/>
                <w:numId w:val="16"/>
              </w:numPr>
              <w:spacing w:after="180"/>
              <w:contextualSpacing/>
              <w:jc w:val="both"/>
              <w:rPr>
                <w:rFonts w:ascii="Arial" w:eastAsia="Arial" w:hAnsi="Arial" w:cs="Arial"/>
                <w:b/>
                <w:color w:val="000000"/>
              </w:rPr>
            </w:pPr>
            <w:r>
              <w:rPr>
                <w:rFonts w:ascii="Arial" w:eastAsia="Arial" w:hAnsi="Arial" w:cs="Arial"/>
                <w:b/>
                <w:color w:val="000000"/>
              </w:rPr>
              <w:t>Option-1: Leaving UE behaviour during discontinuous coverage on UE Implementation</w:t>
            </w:r>
          </w:p>
          <w:p w14:paraId="7B0A903A" w14:textId="77777777" w:rsidR="00E06B61" w:rsidRDefault="00E06B61" w:rsidP="00E06B61">
            <w:pPr>
              <w:pStyle w:val="ListParagraph"/>
              <w:numPr>
                <w:ilvl w:val="0"/>
                <w:numId w:val="16"/>
              </w:numPr>
              <w:spacing w:after="180"/>
              <w:contextualSpacing/>
              <w:jc w:val="both"/>
              <w:rPr>
                <w:rFonts w:ascii="Arial" w:eastAsia="Arial" w:hAnsi="Arial" w:cs="Arial"/>
                <w:b/>
                <w:color w:val="000000"/>
              </w:rPr>
            </w:pPr>
            <w:r>
              <w:rPr>
                <w:rFonts w:ascii="Arial" w:eastAsia="Arial" w:hAnsi="Arial" w:cs="Arial"/>
                <w:b/>
                <w:color w:val="000000"/>
              </w:rPr>
              <w:t xml:space="preserve">Option-2: Specify UE behaviour (maintaining AS states, running related timers and informing NAS) during discontinuous coverage. </w:t>
            </w:r>
          </w:p>
          <w:p w14:paraId="5F4BF49C" w14:textId="77777777" w:rsidR="00E06B61" w:rsidRDefault="00E06B61" w:rsidP="008F6775">
            <w:pPr>
              <w:pStyle w:val="Doc-text2"/>
              <w:ind w:left="0" w:firstLine="0"/>
            </w:pPr>
          </w:p>
        </w:tc>
      </w:tr>
    </w:tbl>
    <w:p w14:paraId="4A36130E" w14:textId="77777777" w:rsidR="00E06B61" w:rsidRDefault="00E06B61" w:rsidP="00E06B61">
      <w:pPr>
        <w:pStyle w:val="Doc-text2"/>
        <w:ind w:left="0" w:firstLine="0"/>
      </w:pPr>
    </w:p>
    <w:p w14:paraId="1785D3A2" w14:textId="77777777" w:rsidR="00E06B61" w:rsidRDefault="00E06B61" w:rsidP="00E06B61">
      <w:pPr>
        <w:pStyle w:val="Doc-text2"/>
        <w:ind w:left="0" w:firstLine="0"/>
      </w:pPr>
      <w:r>
        <w:t xml:space="preserve">For this reason, we feel that the issue may not be fully addressed using the open issues discussion only, and we additionally recap the some of the proposals made in </w:t>
      </w:r>
      <w:r>
        <w:fldChar w:fldCharType="begin"/>
      </w:r>
      <w:r>
        <w:instrText xml:space="preserve"> REF _Ref95399344 \r \h </w:instrText>
      </w:r>
      <w:r>
        <w:fldChar w:fldCharType="separate"/>
      </w:r>
      <w:r>
        <w:t>[5]</w:t>
      </w:r>
      <w:r>
        <w:fldChar w:fldCharType="end"/>
      </w:r>
      <w:r>
        <w:t>.</w:t>
      </w:r>
    </w:p>
    <w:p w14:paraId="0414B5A3" w14:textId="77777777" w:rsidR="00E06B61" w:rsidRDefault="00E06B61" w:rsidP="00E06B61">
      <w:pPr>
        <w:pStyle w:val="Doc-text2"/>
        <w:ind w:left="0" w:firstLine="0"/>
      </w:pPr>
    </w:p>
    <w:p w14:paraId="2988E224" w14:textId="77777777" w:rsidR="00E06B61" w:rsidRDefault="00E06B61" w:rsidP="00E06B61">
      <w:pPr>
        <w:pStyle w:val="Doc-text2"/>
        <w:ind w:left="0" w:firstLine="0"/>
      </w:pPr>
      <w:r>
        <w:lastRenderedPageBreak/>
        <w:t xml:space="preserve">For NB-IoT and eMTC, coverage gap prediction in RRC_IDLE and RRC_INACTIVE may provide an opportunity to save power, for example because UEs may choose not to perform measurements of the serving cell or the neighbour cells during a coverage gap. The UE may avoid going to “any cell selection” state and start performing a scan of supported carriers/RATs during a coverage gap. Rather, the UE may choose to suspend measurements and reselection and rather “sleep” during the coverage gap in order to save precious battery life. </w:t>
      </w:r>
    </w:p>
    <w:p w14:paraId="03585433" w14:textId="77777777" w:rsidR="00E06B61" w:rsidRDefault="00E06B61" w:rsidP="00E06B61">
      <w:pPr>
        <w:pStyle w:val="Doc-text2"/>
        <w:ind w:left="0" w:firstLine="0"/>
      </w:pPr>
    </w:p>
    <w:p w14:paraId="6EA2E930" w14:textId="77777777" w:rsidR="00E06B61" w:rsidRDefault="00E06B61" w:rsidP="00E06B61">
      <w:pPr>
        <w:pStyle w:val="Doc-text2"/>
        <w:ind w:left="0" w:firstLine="0"/>
        <w:rPr>
          <w:b/>
          <w:bCs/>
        </w:rPr>
      </w:pPr>
      <w:r w:rsidRPr="00780D2A">
        <w:rPr>
          <w:b/>
          <w:bCs/>
        </w:rPr>
        <w:t xml:space="preserve">Proposal </w:t>
      </w:r>
      <w:r>
        <w:rPr>
          <w:b/>
          <w:bCs/>
        </w:rPr>
        <w:t>1</w:t>
      </w:r>
      <w:r w:rsidRPr="00780D2A">
        <w:rPr>
          <w:b/>
          <w:bCs/>
        </w:rPr>
        <w:t xml:space="preserve">: If a UE </w:t>
      </w:r>
      <w:r>
        <w:rPr>
          <w:b/>
          <w:bCs/>
        </w:rPr>
        <w:t xml:space="preserve">in RRC_IDLE or RRC_INACTIVE </w:t>
      </w:r>
      <w:r w:rsidRPr="00780D2A">
        <w:rPr>
          <w:b/>
          <w:bCs/>
        </w:rPr>
        <w:t>determines it is in a coverage gap, the UE may choose not to perform measurements of the serving cell or neighbour cells, and may postpone moving to “any cell selection” state.</w:t>
      </w:r>
    </w:p>
    <w:p w14:paraId="7AD8CD45" w14:textId="77777777" w:rsidR="00E06B61" w:rsidRPr="00780D2A" w:rsidRDefault="00E06B61" w:rsidP="00E06B61">
      <w:pPr>
        <w:pStyle w:val="Doc-text2"/>
        <w:ind w:left="0" w:firstLine="0"/>
        <w:rPr>
          <w:rFonts w:ascii="Arial" w:eastAsia="SimSun" w:hAnsi="Arial" w:cs="Arial"/>
          <w:sz w:val="32"/>
          <w:szCs w:val="32"/>
          <w:lang w:eastAsia="zh-CN"/>
        </w:rPr>
      </w:pPr>
    </w:p>
    <w:p w14:paraId="6A47D390" w14:textId="77777777" w:rsidR="00E06B61" w:rsidRDefault="00E06B61" w:rsidP="00E06B61">
      <w:r>
        <w:t xml:space="preserve">The other main consideration in idle mode would of course be DRX/eDRX and paging monitoring. If the UE is configured with a relatively short DRX (i.e. not eDRX) then it is likely that the paging cycle is shorter than a coverage gap. In this case the UE should simply be allowed not to monitor the paging occasions that fall within the coverage gap - this would anyway be impossible and allowing the UE to save power by avoiding trying to synchronise to a cell during this time would be beneficial. </w:t>
      </w:r>
    </w:p>
    <w:p w14:paraId="608C331F" w14:textId="77777777" w:rsidR="00E06B61" w:rsidRDefault="00E06B61" w:rsidP="00E06B61"/>
    <w:p w14:paraId="7D92171B" w14:textId="77777777" w:rsidR="00E06B61" w:rsidRDefault="00E06B61" w:rsidP="00E06B61">
      <w:pPr>
        <w:rPr>
          <w:b/>
          <w:bCs/>
        </w:rPr>
      </w:pPr>
      <w:r w:rsidRPr="00036777">
        <w:rPr>
          <w:b/>
          <w:bCs/>
        </w:rPr>
        <w:t xml:space="preserve">Proposal </w:t>
      </w:r>
      <w:r>
        <w:rPr>
          <w:b/>
          <w:bCs/>
        </w:rPr>
        <w:t>2</w:t>
      </w:r>
      <w:r w:rsidRPr="00036777">
        <w:rPr>
          <w:b/>
          <w:bCs/>
        </w:rPr>
        <w:t xml:space="preserve">: A UE </w:t>
      </w:r>
      <w:r>
        <w:rPr>
          <w:b/>
          <w:bCs/>
        </w:rPr>
        <w:t xml:space="preserve">in RRC_IDLE or RRC_INACTIVE </w:t>
      </w:r>
      <w:r w:rsidRPr="00036777">
        <w:rPr>
          <w:b/>
          <w:bCs/>
        </w:rPr>
        <w:t xml:space="preserve">should be allowed not to </w:t>
      </w:r>
      <w:r>
        <w:rPr>
          <w:b/>
          <w:bCs/>
        </w:rPr>
        <w:t xml:space="preserve">attempt to </w:t>
      </w:r>
      <w:r w:rsidRPr="00036777">
        <w:rPr>
          <w:b/>
          <w:bCs/>
        </w:rPr>
        <w:t xml:space="preserve">monitor paging occasions </w:t>
      </w:r>
      <w:r>
        <w:rPr>
          <w:b/>
          <w:bCs/>
        </w:rPr>
        <w:t>which</w:t>
      </w:r>
      <w:r w:rsidRPr="00036777">
        <w:rPr>
          <w:b/>
          <w:bCs/>
        </w:rPr>
        <w:t xml:space="preserve"> occur during a coverage gap.</w:t>
      </w:r>
    </w:p>
    <w:p w14:paraId="688D67C2" w14:textId="77777777" w:rsidR="00E06B61" w:rsidRDefault="00E06B61" w:rsidP="00E06B61">
      <w:pPr>
        <w:rPr>
          <w:b/>
          <w:bCs/>
        </w:rPr>
      </w:pPr>
    </w:p>
    <w:p w14:paraId="13D26E8C" w14:textId="5C49557B" w:rsidR="00E06B61" w:rsidRDefault="00E06B61" w:rsidP="00E06B61">
      <w:r>
        <w:t>Given the late stage in the release, we recommend that other enhancements are not considered in R17 but are recommen</w:t>
      </w:r>
      <w:r w:rsidR="00157C4F">
        <w:t>d</w:t>
      </w:r>
      <w:r>
        <w:t>ed for R18 WID.</w:t>
      </w:r>
    </w:p>
    <w:p w14:paraId="0AE7A803" w14:textId="77777777" w:rsidR="00E06B61" w:rsidRDefault="00E06B61" w:rsidP="00E06B61"/>
    <w:p w14:paraId="74252293" w14:textId="77777777" w:rsidR="00E06B61" w:rsidRPr="00DE4862" w:rsidRDefault="00E06B61" w:rsidP="00E06B61">
      <w:pPr>
        <w:rPr>
          <w:b/>
          <w:bCs/>
        </w:rPr>
      </w:pPr>
      <w:r w:rsidRPr="0085290A">
        <w:rPr>
          <w:b/>
          <w:bCs/>
        </w:rPr>
        <w:t xml:space="preserve">Proposal 3: </w:t>
      </w:r>
      <w:r w:rsidRPr="00B556ED">
        <w:rPr>
          <w:b/>
          <w:bCs/>
        </w:rPr>
        <w:t xml:space="preserve">RAN2 to </w:t>
      </w:r>
      <w:r>
        <w:rPr>
          <w:b/>
          <w:bCs/>
        </w:rPr>
        <w:t>recommend DRX improvements, RLM/RLF improvements, and handover improvements for discontinuous coverage in R18.</w:t>
      </w:r>
    </w:p>
    <w:p w14:paraId="2193FB5E" w14:textId="77777777" w:rsidR="00E06B61" w:rsidRDefault="00E06B61" w:rsidP="00E06B61">
      <w:pPr>
        <w:pStyle w:val="Heading2"/>
      </w:pPr>
      <w:r>
        <w:t>2.2</w:t>
      </w:r>
      <w:r>
        <w:tab/>
        <w:t>Coverage gap prediction parameters</w:t>
      </w:r>
    </w:p>
    <w:p w14:paraId="451F0BBB" w14:textId="77777777" w:rsidR="00E06B61" w:rsidRDefault="00E06B61" w:rsidP="00E06B61">
      <w:pPr>
        <w:pStyle w:val="Doc-text2"/>
        <w:ind w:left="0" w:firstLine="0"/>
      </w:pPr>
    </w:p>
    <w:p w14:paraId="5311E2D1" w14:textId="77777777" w:rsidR="00E06B61" w:rsidRDefault="00E06B61" w:rsidP="00E06B61">
      <w:r>
        <w:t>Based on the above proposals in section 2.1 we can finally address the open issue in question – i.e. whether to provide additional parameters for the UE to predict coverage.</w:t>
      </w:r>
    </w:p>
    <w:p w14:paraId="70375C9E" w14:textId="77777777" w:rsidR="00E06B61" w:rsidRDefault="00E06B61" w:rsidP="00E06B61"/>
    <w:p w14:paraId="16E8FA6F" w14:textId="08664EFB" w:rsidR="00E06B61" w:rsidRDefault="00E06B61" w:rsidP="00E06B61">
      <w:r>
        <w:t xml:space="preserve">If, as proposed as option 1 in OI 3.4, we leave completely to UE </w:t>
      </w:r>
      <w:r w:rsidR="00EE321B">
        <w:t>implementation</w:t>
      </w:r>
      <w:r>
        <w:t xml:space="preserve">, then it’s very unclear what the benefit of any additional parameters would be. There is no guarantee that UEs will use the parameters, and if the parameters are used, then there is certainly no guarantee that UEs will use the information in a consistent way. </w:t>
      </w:r>
    </w:p>
    <w:p w14:paraId="02DC307F" w14:textId="77777777" w:rsidR="00E06B61" w:rsidRDefault="00E06B61" w:rsidP="00E06B61"/>
    <w:p w14:paraId="543D2624" w14:textId="77777777" w:rsidR="00E06B61" w:rsidRDefault="00E06B61" w:rsidP="00E06B61">
      <w:r>
        <w:t xml:space="preserve">On the other hand, as with proposals 1 and 2, the normal way is to at least specify that the UE “may” choose not to perform measurements – this leaves the actual measurements to UE implementation and offers as much flexibility as possible while providing some level of predictability and minimum expectation on behaviour for the network – it allows the UE to legitimately not perform measurements or monitor paging during the coverage gap. This does mean that we do need to at least partly specify the behaviour. </w:t>
      </w:r>
    </w:p>
    <w:p w14:paraId="48ED2126" w14:textId="77777777" w:rsidR="00E06B61" w:rsidRDefault="00E06B61" w:rsidP="00E06B61"/>
    <w:p w14:paraId="4C1D9921" w14:textId="1CA13D92" w:rsidR="00E06B61" w:rsidRDefault="0002018A" w:rsidP="00E06B61">
      <w:r>
        <w:t xml:space="preserve">This </w:t>
      </w:r>
      <w:r w:rsidR="00037C84">
        <w:t xml:space="preserve">also </w:t>
      </w:r>
      <w:r>
        <w:t>implies</w:t>
      </w:r>
      <w:r w:rsidR="00E06B61">
        <w:t xml:space="preserve"> that we may need to define some minimum accuracy requirement on the UE coverage gap estimation, </w:t>
      </w:r>
      <w:r w:rsidR="0073678F">
        <w:t>for example in terms of timing accuracy</w:t>
      </w:r>
      <w:r w:rsidR="00697C83">
        <w:t xml:space="preserve"> (e.g. coverage gap must be estimated within X seconds) </w:t>
      </w:r>
      <w:r w:rsidR="00E06B61">
        <w:t xml:space="preserve">otherwise </w:t>
      </w:r>
      <w:r w:rsidR="00037C84">
        <w:t xml:space="preserve">requirements on when UE should perform measurements etc. </w:t>
      </w:r>
      <w:r w:rsidR="009E2FCC">
        <w:t>aren’t t</w:t>
      </w:r>
      <w:r w:rsidR="00E06B61">
        <w:t xml:space="preserve">estable and we have a similar issue as just leaving to implementation. </w:t>
      </w:r>
    </w:p>
    <w:p w14:paraId="2688572A" w14:textId="77777777" w:rsidR="00E06B61" w:rsidRDefault="00E06B61" w:rsidP="00E06B61"/>
    <w:p w14:paraId="5784A75F" w14:textId="14D1C138" w:rsidR="00E06B61" w:rsidRDefault="00E06B61" w:rsidP="00E06B61">
      <w:r>
        <w:t>If it is not possible to define a minimum accuracy on UE coverage estimation, and allow the UE in case of discontinuous coverage prediction not to measure or monitor paging, then it is very questionable whether provision of additional parameters has any benefit at all – on the contrary, it may make the UE behaviour unpredictable to the point that the feature is better not to have at all</w:t>
      </w:r>
      <w:r w:rsidR="009E2FCC">
        <w:t xml:space="preserve"> in this release</w:t>
      </w:r>
      <w:r>
        <w:t xml:space="preserve">. </w:t>
      </w:r>
    </w:p>
    <w:p w14:paraId="1715BB6F" w14:textId="77777777" w:rsidR="00E06B61" w:rsidRDefault="00E06B61" w:rsidP="00E06B61"/>
    <w:p w14:paraId="37C45596" w14:textId="77777777" w:rsidR="00E06B61" w:rsidRDefault="00E06B61" w:rsidP="00E06B61">
      <w:r>
        <w:t>In order to have a reasonable level of predictability, we think that it would be beneficial for the network to provide the satellite reference point on the ground as well as the cell radius. However, we think that this should be conditional on also specifying a minimum accuracy requirement, and specify the UE behaviour at least to a similar level as current idle mode requirements (i.e. specify the cases when UE is allowed not to measure cells, etc)</w:t>
      </w:r>
    </w:p>
    <w:p w14:paraId="0214212E" w14:textId="77777777" w:rsidR="00E06B61" w:rsidRDefault="00E06B61" w:rsidP="00E06B61"/>
    <w:p w14:paraId="59499257" w14:textId="77777777" w:rsidR="00E06B61" w:rsidRDefault="00E06B61" w:rsidP="00E06B61">
      <w:r>
        <w:t>For these reasons we propose:</w:t>
      </w:r>
    </w:p>
    <w:p w14:paraId="767FE906" w14:textId="77777777" w:rsidR="00E06B61" w:rsidRDefault="00E06B61" w:rsidP="00E06B61"/>
    <w:p w14:paraId="21042F0A" w14:textId="57F09DE4" w:rsidR="00E06B61" w:rsidRDefault="00E06B61" w:rsidP="00E06B61">
      <w:pPr>
        <w:rPr>
          <w:rFonts w:cs="Arial"/>
          <w:b/>
          <w:bCs/>
          <w:kern w:val="32"/>
          <w:sz w:val="32"/>
          <w:szCs w:val="32"/>
        </w:rPr>
      </w:pPr>
      <w:r w:rsidRPr="00DE4862">
        <w:rPr>
          <w:b/>
          <w:bCs/>
        </w:rPr>
        <w:t xml:space="preserve">Proposal </w:t>
      </w:r>
      <w:r>
        <w:rPr>
          <w:b/>
          <w:bCs/>
        </w:rPr>
        <w:t>4</w:t>
      </w:r>
      <w:r w:rsidRPr="00DE4862">
        <w:rPr>
          <w:b/>
          <w:bCs/>
        </w:rPr>
        <w:t xml:space="preserve">: </w:t>
      </w:r>
      <w:r w:rsidR="004D20F7">
        <w:rPr>
          <w:b/>
          <w:bCs/>
        </w:rPr>
        <w:t xml:space="preserve">Cell </w:t>
      </w:r>
      <w:r>
        <w:rPr>
          <w:b/>
          <w:bCs/>
        </w:rPr>
        <w:t>reference point on ground and cell radius are provided</w:t>
      </w:r>
      <w:r w:rsidR="004D20F7">
        <w:rPr>
          <w:b/>
          <w:bCs/>
        </w:rPr>
        <w:t xml:space="preserve"> for serving and neighbour cells</w:t>
      </w:r>
      <w:r w:rsidR="002479FA">
        <w:rPr>
          <w:b/>
          <w:bCs/>
        </w:rPr>
        <w:t xml:space="preserve">, and a minimum </w:t>
      </w:r>
      <w:r w:rsidR="006D1045">
        <w:rPr>
          <w:b/>
          <w:bCs/>
        </w:rPr>
        <w:t xml:space="preserve">UE </w:t>
      </w:r>
      <w:r w:rsidR="002479FA">
        <w:rPr>
          <w:b/>
          <w:bCs/>
        </w:rPr>
        <w:t xml:space="preserve">accuracy is specified </w:t>
      </w:r>
      <w:r>
        <w:rPr>
          <w:b/>
          <w:bCs/>
        </w:rPr>
        <w:t>on discontinuous coverage prediction and the conditions under which UE is allowed to use that information</w:t>
      </w:r>
      <w:r w:rsidR="002479FA">
        <w:rPr>
          <w:b/>
          <w:bCs/>
        </w:rPr>
        <w:t>, e.g. in the order of seconds</w:t>
      </w:r>
      <w:r>
        <w:rPr>
          <w:b/>
          <w:bCs/>
        </w:rPr>
        <w:t xml:space="preserve">. </w:t>
      </w:r>
      <w:r>
        <w:rPr>
          <w:rFonts w:cs="Arial"/>
        </w:rPr>
        <w:br w:type="page"/>
      </w:r>
    </w:p>
    <w:p w14:paraId="388D6607" w14:textId="77777777" w:rsidR="00E06B61" w:rsidRPr="00346012"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pPr>
      <w:r w:rsidRPr="008645A0">
        <w:rPr>
          <w:rFonts w:cs="Arial"/>
        </w:rPr>
        <w:lastRenderedPageBreak/>
        <w:t>Conclusion</w:t>
      </w:r>
    </w:p>
    <w:p w14:paraId="238FFAC1" w14:textId="77777777" w:rsidR="00E06B61" w:rsidRDefault="00E06B61" w:rsidP="00E06B61">
      <w:pPr>
        <w:jc w:val="both"/>
        <w:rPr>
          <w:lang w:eastAsia="zh-CN"/>
        </w:rPr>
      </w:pPr>
      <w:r>
        <w:rPr>
          <w:lang w:eastAsia="zh-CN"/>
        </w:rPr>
        <w:t>In this contribution we have discussed how to detect and handle coverage gaps in IoT-NTN and have the following proposals:</w:t>
      </w:r>
    </w:p>
    <w:p w14:paraId="65937A47" w14:textId="77777777" w:rsidR="00E06B61" w:rsidRDefault="00E06B61" w:rsidP="00E06B61">
      <w:pPr>
        <w:jc w:val="both"/>
        <w:rPr>
          <w:lang w:eastAsia="zh-CN"/>
        </w:rPr>
      </w:pPr>
    </w:p>
    <w:p w14:paraId="65C6F086" w14:textId="77777777" w:rsidR="00E06B61" w:rsidRDefault="00E06B61" w:rsidP="00E06B61">
      <w:pPr>
        <w:pStyle w:val="Doc-text2"/>
        <w:ind w:left="0" w:firstLine="0"/>
        <w:rPr>
          <w:b/>
          <w:bCs/>
        </w:rPr>
      </w:pPr>
      <w:r w:rsidRPr="00780D2A">
        <w:rPr>
          <w:b/>
          <w:bCs/>
        </w:rPr>
        <w:t xml:space="preserve">Proposal </w:t>
      </w:r>
      <w:r>
        <w:rPr>
          <w:b/>
          <w:bCs/>
        </w:rPr>
        <w:t>1</w:t>
      </w:r>
      <w:r w:rsidRPr="00780D2A">
        <w:rPr>
          <w:b/>
          <w:bCs/>
        </w:rPr>
        <w:t xml:space="preserve">: If a UE </w:t>
      </w:r>
      <w:r>
        <w:rPr>
          <w:b/>
          <w:bCs/>
        </w:rPr>
        <w:t xml:space="preserve">in RRC_IDLE or RRC_INACTIVE </w:t>
      </w:r>
      <w:r w:rsidRPr="00780D2A">
        <w:rPr>
          <w:b/>
          <w:bCs/>
        </w:rPr>
        <w:t>determines it is in a coverage gap, the UE may choose not to perform measurements of the serving cell or neighbour cells, and may postpone moving to “any cell selection” state.</w:t>
      </w:r>
    </w:p>
    <w:p w14:paraId="1C0632C0" w14:textId="77777777" w:rsidR="00E06B61" w:rsidRDefault="00E06B61" w:rsidP="00E06B61"/>
    <w:p w14:paraId="34D5C312" w14:textId="77777777" w:rsidR="00E06B61" w:rsidRDefault="00E06B61" w:rsidP="00E06B61">
      <w:pPr>
        <w:rPr>
          <w:b/>
          <w:bCs/>
        </w:rPr>
      </w:pPr>
      <w:r w:rsidRPr="00036777">
        <w:rPr>
          <w:b/>
          <w:bCs/>
        </w:rPr>
        <w:t xml:space="preserve">Proposal </w:t>
      </w:r>
      <w:r>
        <w:rPr>
          <w:b/>
          <w:bCs/>
        </w:rPr>
        <w:t>2</w:t>
      </w:r>
      <w:r w:rsidRPr="00036777">
        <w:rPr>
          <w:b/>
          <w:bCs/>
        </w:rPr>
        <w:t xml:space="preserve">: A UE </w:t>
      </w:r>
      <w:r>
        <w:rPr>
          <w:b/>
          <w:bCs/>
        </w:rPr>
        <w:t xml:space="preserve">in RRC_IDLE or RRC_INACTIVE </w:t>
      </w:r>
      <w:r w:rsidRPr="00036777">
        <w:rPr>
          <w:b/>
          <w:bCs/>
        </w:rPr>
        <w:t xml:space="preserve">should be allowed not to </w:t>
      </w:r>
      <w:r>
        <w:rPr>
          <w:b/>
          <w:bCs/>
        </w:rPr>
        <w:t xml:space="preserve">attempt to </w:t>
      </w:r>
      <w:r w:rsidRPr="00036777">
        <w:rPr>
          <w:b/>
          <w:bCs/>
        </w:rPr>
        <w:t xml:space="preserve">monitor paging occasions </w:t>
      </w:r>
      <w:r>
        <w:rPr>
          <w:b/>
          <w:bCs/>
        </w:rPr>
        <w:t>which</w:t>
      </w:r>
      <w:r w:rsidRPr="00036777">
        <w:rPr>
          <w:b/>
          <w:bCs/>
        </w:rPr>
        <w:t xml:space="preserve"> occur during a coverage gap.</w:t>
      </w:r>
    </w:p>
    <w:p w14:paraId="07A962C8" w14:textId="77777777" w:rsidR="00E06B61" w:rsidRDefault="00E06B61" w:rsidP="00E06B61"/>
    <w:p w14:paraId="083F52F3" w14:textId="77777777" w:rsidR="00E06B61" w:rsidRPr="00DE4862" w:rsidRDefault="00E06B61" w:rsidP="00E06B61">
      <w:pPr>
        <w:rPr>
          <w:b/>
          <w:bCs/>
        </w:rPr>
      </w:pPr>
      <w:r w:rsidRPr="0085290A">
        <w:rPr>
          <w:b/>
          <w:bCs/>
        </w:rPr>
        <w:t xml:space="preserve">Proposal 3: </w:t>
      </w:r>
      <w:r w:rsidRPr="00B556ED">
        <w:rPr>
          <w:b/>
          <w:bCs/>
        </w:rPr>
        <w:t xml:space="preserve">RAN2 to </w:t>
      </w:r>
      <w:r>
        <w:rPr>
          <w:b/>
          <w:bCs/>
        </w:rPr>
        <w:t>recommend DRX improvements, RLM/RLF improvements, and handover improvements for discontinuous coverage in R18.</w:t>
      </w:r>
    </w:p>
    <w:p w14:paraId="005DE1EA" w14:textId="77777777" w:rsidR="00E06B61" w:rsidRDefault="00E06B61" w:rsidP="00E06B61">
      <w:pPr>
        <w:jc w:val="both"/>
        <w:rPr>
          <w:lang w:eastAsia="zh-CN"/>
        </w:rPr>
      </w:pPr>
    </w:p>
    <w:p w14:paraId="0833BCF1" w14:textId="44E62233" w:rsidR="00E06B61" w:rsidRPr="00DE4862" w:rsidRDefault="006D1045" w:rsidP="00E06B61">
      <w:pPr>
        <w:jc w:val="both"/>
        <w:rPr>
          <w:lang w:eastAsia="zh-CN"/>
        </w:rPr>
      </w:pPr>
      <w:r w:rsidRPr="00DE4862">
        <w:rPr>
          <w:b/>
          <w:bCs/>
        </w:rPr>
        <w:t xml:space="preserve">Proposal </w:t>
      </w:r>
      <w:r>
        <w:rPr>
          <w:b/>
          <w:bCs/>
        </w:rPr>
        <w:t>4</w:t>
      </w:r>
      <w:r w:rsidRPr="00DE4862">
        <w:rPr>
          <w:b/>
          <w:bCs/>
        </w:rPr>
        <w:t xml:space="preserve">: </w:t>
      </w:r>
      <w:r w:rsidR="004D20F7">
        <w:rPr>
          <w:b/>
          <w:bCs/>
        </w:rPr>
        <w:t xml:space="preserve">Cell </w:t>
      </w:r>
      <w:r>
        <w:rPr>
          <w:b/>
          <w:bCs/>
        </w:rPr>
        <w:t>reference point on ground and cell radius are provided</w:t>
      </w:r>
      <w:r w:rsidR="004D20F7">
        <w:rPr>
          <w:b/>
          <w:bCs/>
        </w:rPr>
        <w:t xml:space="preserve"> for serving and neighbour cells</w:t>
      </w:r>
      <w:r>
        <w:rPr>
          <w:b/>
          <w:bCs/>
        </w:rPr>
        <w:t>, and a minimum UE accuracy is specified on discontinuous coverage prediction and the conditions under which UE is allowed to use that information, e.g. in the order of seconds.</w:t>
      </w:r>
    </w:p>
    <w:p w14:paraId="43E428F1" w14:textId="77777777" w:rsidR="00E06B61"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p w14:paraId="230372A7" w14:textId="77777777" w:rsidR="00E06B61" w:rsidRDefault="00E06B61" w:rsidP="00E06B61">
      <w:pPr>
        <w:pStyle w:val="Reference"/>
        <w:numPr>
          <w:ilvl w:val="0"/>
          <w:numId w:val="12"/>
        </w:numPr>
        <w:overflowPunct w:val="0"/>
        <w:autoSpaceDE w:val="0"/>
        <w:autoSpaceDN w:val="0"/>
        <w:adjustRightInd w:val="0"/>
        <w:jc w:val="both"/>
        <w:textAlignment w:val="baseline"/>
        <w:rPr>
          <w:rFonts w:eastAsia="Arial Unicode MS"/>
        </w:rPr>
      </w:pPr>
      <w:bookmarkStart w:id="0" w:name="_Ref92379734"/>
      <w:r w:rsidRPr="0020665C">
        <w:rPr>
          <w:rFonts w:eastAsia="Arial Unicode MS"/>
        </w:rPr>
        <w:t>Chairman’s Notes, 3GPP WG</w:t>
      </w:r>
      <w:r>
        <w:rPr>
          <w:rFonts w:eastAsia="Arial Unicode MS"/>
        </w:rPr>
        <w:t>2</w:t>
      </w:r>
      <w:r w:rsidRPr="0020665C">
        <w:rPr>
          <w:rFonts w:eastAsia="Arial Unicode MS"/>
        </w:rPr>
        <w:t xml:space="preserve"> #1</w:t>
      </w:r>
      <w:r>
        <w:rPr>
          <w:rFonts w:eastAsia="Arial Unicode MS"/>
        </w:rPr>
        <w:t>15</w:t>
      </w:r>
      <w:r w:rsidRPr="0020665C">
        <w:rPr>
          <w:rFonts w:eastAsia="Arial Unicode MS"/>
        </w:rPr>
        <w:t>-e</w:t>
      </w:r>
      <w:bookmarkEnd w:id="0"/>
    </w:p>
    <w:p w14:paraId="565246FC" w14:textId="77777777" w:rsidR="00E06B61" w:rsidRDefault="00E06B61" w:rsidP="00E06B61">
      <w:pPr>
        <w:pStyle w:val="Reference"/>
        <w:numPr>
          <w:ilvl w:val="0"/>
          <w:numId w:val="12"/>
        </w:numPr>
        <w:overflowPunct w:val="0"/>
        <w:autoSpaceDE w:val="0"/>
        <w:autoSpaceDN w:val="0"/>
        <w:adjustRightInd w:val="0"/>
        <w:jc w:val="both"/>
        <w:textAlignment w:val="baseline"/>
        <w:rPr>
          <w:rFonts w:eastAsia="Arial Unicode MS"/>
        </w:rPr>
      </w:pPr>
      <w:bookmarkStart w:id="1" w:name="_Ref92379741"/>
      <w:r w:rsidRPr="0020665C">
        <w:rPr>
          <w:rFonts w:eastAsia="Arial Unicode MS"/>
        </w:rPr>
        <w:t>Chairman’s Notes, 3GPP WG</w:t>
      </w:r>
      <w:r>
        <w:rPr>
          <w:rFonts w:eastAsia="Arial Unicode MS"/>
        </w:rPr>
        <w:t>2</w:t>
      </w:r>
      <w:r w:rsidRPr="0020665C">
        <w:rPr>
          <w:rFonts w:eastAsia="Arial Unicode MS"/>
        </w:rPr>
        <w:t xml:space="preserve"> #1</w:t>
      </w:r>
      <w:r>
        <w:rPr>
          <w:rFonts w:eastAsia="Arial Unicode MS"/>
        </w:rPr>
        <w:t>16</w:t>
      </w:r>
      <w:r w:rsidRPr="0020665C">
        <w:rPr>
          <w:rFonts w:eastAsia="Arial Unicode MS"/>
        </w:rPr>
        <w:t>-e</w:t>
      </w:r>
      <w:bookmarkEnd w:id="1"/>
    </w:p>
    <w:p w14:paraId="2D7A14FA" w14:textId="77777777" w:rsidR="00E06B61" w:rsidRDefault="00E06B61" w:rsidP="00E06B61">
      <w:pPr>
        <w:pStyle w:val="Reference"/>
        <w:numPr>
          <w:ilvl w:val="0"/>
          <w:numId w:val="12"/>
        </w:numPr>
        <w:overflowPunct w:val="0"/>
        <w:autoSpaceDE w:val="0"/>
        <w:autoSpaceDN w:val="0"/>
        <w:adjustRightInd w:val="0"/>
        <w:jc w:val="both"/>
        <w:textAlignment w:val="baseline"/>
        <w:rPr>
          <w:rFonts w:eastAsia="Arial Unicode MS"/>
        </w:rPr>
      </w:pPr>
      <w:bookmarkStart w:id="2" w:name="_Ref95398836"/>
      <w:r w:rsidRPr="0020665C">
        <w:rPr>
          <w:rFonts w:eastAsia="Arial Unicode MS"/>
        </w:rPr>
        <w:t>Chairman’s Notes, 3GPP WG</w:t>
      </w:r>
      <w:r>
        <w:rPr>
          <w:rFonts w:eastAsia="Arial Unicode MS"/>
        </w:rPr>
        <w:t>2</w:t>
      </w:r>
      <w:r w:rsidRPr="0020665C">
        <w:rPr>
          <w:rFonts w:eastAsia="Arial Unicode MS"/>
        </w:rPr>
        <w:t xml:space="preserve"> #1</w:t>
      </w:r>
      <w:r>
        <w:rPr>
          <w:rFonts w:eastAsia="Arial Unicode MS"/>
        </w:rPr>
        <w:t>16bis</w:t>
      </w:r>
      <w:r w:rsidRPr="0020665C">
        <w:rPr>
          <w:rFonts w:eastAsia="Arial Unicode MS"/>
        </w:rPr>
        <w:t>-e</w:t>
      </w:r>
      <w:bookmarkEnd w:id="2"/>
    </w:p>
    <w:bookmarkStart w:id="3" w:name="_Ref92379744"/>
    <w:bookmarkStart w:id="4" w:name="_Ref95398842"/>
    <w:p w14:paraId="3F839615" w14:textId="77777777" w:rsidR="00E06B61" w:rsidRPr="002637B4" w:rsidRDefault="00E06B61" w:rsidP="00E06B61">
      <w:pPr>
        <w:pStyle w:val="Reference"/>
        <w:numPr>
          <w:ilvl w:val="0"/>
          <w:numId w:val="12"/>
        </w:numPr>
        <w:overflowPunct w:val="0"/>
        <w:autoSpaceDE w:val="0"/>
        <w:autoSpaceDN w:val="0"/>
        <w:adjustRightInd w:val="0"/>
        <w:jc w:val="both"/>
        <w:textAlignment w:val="baseline"/>
        <w:rPr>
          <w:rFonts w:eastAsia="Arial Unicode MS"/>
        </w:rPr>
      </w:pPr>
      <w:r>
        <w:rPr>
          <w:color w:val="000000"/>
        </w:rPr>
        <w:fldChar w:fldCharType="begin"/>
      </w:r>
      <w:r>
        <w:rPr>
          <w:color w:val="000000"/>
        </w:rPr>
        <w:instrText xml:space="preserve"> HYPERLINK "http://ftp.3gpp.org/tsg_ran/TSG_RAN/TSGR_94e/Docs/RP-213596.zip" </w:instrText>
      </w:r>
      <w:r>
        <w:rPr>
          <w:color w:val="000000"/>
        </w:rPr>
        <w:fldChar w:fldCharType="separate"/>
      </w:r>
      <w:r>
        <w:rPr>
          <w:rStyle w:val="Hyperlink"/>
        </w:rPr>
        <w:t>RP-213596</w:t>
      </w:r>
      <w:r>
        <w:rPr>
          <w:color w:val="000000"/>
        </w:rPr>
        <w:fldChar w:fldCharType="end"/>
      </w:r>
      <w:r>
        <w:rPr>
          <w:color w:val="000000"/>
        </w:rPr>
        <w:t>,</w:t>
      </w:r>
      <w:bookmarkEnd w:id="3"/>
      <w:r>
        <w:rPr>
          <w:color w:val="000000"/>
        </w:rPr>
        <w:t xml:space="preserve"> </w:t>
      </w:r>
      <w:r w:rsidRPr="009A32EA">
        <w:rPr>
          <w:color w:val="000000"/>
        </w:rPr>
        <w:t>New WID on IoT NTN enhancements</w:t>
      </w:r>
      <w:r>
        <w:rPr>
          <w:color w:val="000000"/>
        </w:rPr>
        <w:t>, Mediatek Inc.</w:t>
      </w:r>
      <w:bookmarkEnd w:id="4"/>
    </w:p>
    <w:bookmarkStart w:id="5" w:name="_Ref95399344"/>
    <w:p w14:paraId="3621869C" w14:textId="3D7760D4" w:rsidR="00E06B61" w:rsidRDefault="00E06B61" w:rsidP="00E06B6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 xml:space="preserve"> HYPERLINK "https://www.3gpp.org/ftp/tsg_ran/WG2_RL2/TSGR2_116bis-e/Docs/R2-2201546.zip" </w:instrText>
      </w:r>
      <w:r>
        <w:rPr>
          <w:rFonts w:eastAsia="Arial Unicode MS"/>
        </w:rPr>
        <w:fldChar w:fldCharType="separate"/>
      </w:r>
      <w:r w:rsidRPr="000D31BB">
        <w:rPr>
          <w:rStyle w:val="Hyperlink"/>
          <w:rFonts w:eastAsia="Arial Unicode MS"/>
        </w:rPr>
        <w:t>R2-2201546</w:t>
      </w:r>
      <w:r>
        <w:rPr>
          <w:rFonts w:eastAsia="Arial Unicode MS"/>
        </w:rPr>
        <w:fldChar w:fldCharType="end"/>
      </w:r>
      <w:r>
        <w:rPr>
          <w:rFonts w:eastAsia="Arial Unicode MS"/>
        </w:rPr>
        <w:t>, “</w:t>
      </w:r>
      <w:r w:rsidRPr="00B5390A">
        <w:rPr>
          <w:rFonts w:eastAsia="Arial Unicode MS"/>
        </w:rPr>
        <w:t>Support of Discontinuous Coverage for IoT-NTN</w:t>
      </w:r>
      <w:r>
        <w:rPr>
          <w:rFonts w:eastAsia="Arial Unicode MS"/>
        </w:rPr>
        <w:t>”, InterDigital, Inc.</w:t>
      </w:r>
      <w:bookmarkEnd w:id="5"/>
    </w:p>
    <w:p w14:paraId="27CA6767" w14:textId="091F5A33" w:rsidR="00B10C6C" w:rsidRDefault="00B10C6C" w:rsidP="00E06B61">
      <w:pPr>
        <w:pStyle w:val="Reference"/>
        <w:numPr>
          <w:ilvl w:val="0"/>
          <w:numId w:val="12"/>
        </w:numPr>
        <w:overflowPunct w:val="0"/>
        <w:autoSpaceDE w:val="0"/>
        <w:autoSpaceDN w:val="0"/>
        <w:adjustRightInd w:val="0"/>
        <w:jc w:val="both"/>
        <w:textAlignment w:val="baseline"/>
        <w:rPr>
          <w:rFonts w:eastAsia="Arial Unicode MS"/>
        </w:rPr>
      </w:pPr>
      <w:bookmarkStart w:id="6" w:name="_Ref95473773"/>
      <w:r w:rsidRPr="00B10C6C">
        <w:rPr>
          <w:rFonts w:eastAsia="Arial Unicode MS"/>
        </w:rPr>
        <w:t>[Pre117-e][013][IoT-NTN] Discontinuous Coverage Open Issues Input (MediaTek)</w:t>
      </w:r>
      <w:bookmarkEnd w:id="6"/>
    </w:p>
    <w:p w14:paraId="3F35E67D" w14:textId="77777777" w:rsidR="00E06B61" w:rsidRPr="001105A3" w:rsidRDefault="00E06B61" w:rsidP="00E06B61">
      <w:pPr>
        <w:pStyle w:val="Reference"/>
        <w:numPr>
          <w:ilvl w:val="0"/>
          <w:numId w:val="0"/>
        </w:numPr>
        <w:overflowPunct w:val="0"/>
        <w:autoSpaceDE w:val="0"/>
        <w:autoSpaceDN w:val="0"/>
        <w:adjustRightInd w:val="0"/>
        <w:ind w:left="567" w:hanging="567"/>
        <w:jc w:val="both"/>
        <w:textAlignment w:val="baseline"/>
      </w:pPr>
    </w:p>
    <w:p w14:paraId="6F633548" w14:textId="77777777" w:rsidR="00886B68" w:rsidRPr="00E06B61" w:rsidRDefault="00886B68" w:rsidP="00E06B61"/>
    <w:sectPr w:rsidR="00886B68" w:rsidRPr="00E06B6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4"/>
  </w:num>
  <w:num w:numId="4">
    <w:abstractNumId w:val="10"/>
  </w:num>
  <w:num w:numId="5">
    <w:abstractNumId w:val="0"/>
  </w:num>
  <w:num w:numId="6">
    <w:abstractNumId w:val="0"/>
  </w:num>
  <w:num w:numId="7">
    <w:abstractNumId w:val="11"/>
  </w:num>
  <w:num w:numId="8">
    <w:abstractNumId w:val="8"/>
  </w:num>
  <w:num w:numId="9">
    <w:abstractNumId w:val="10"/>
  </w:num>
  <w:num w:numId="10">
    <w:abstractNumId w:val="12"/>
  </w:num>
  <w:num w:numId="11">
    <w:abstractNumId w:val="9"/>
  </w:num>
  <w:num w:numId="12">
    <w:abstractNumId w:val="2"/>
  </w:num>
  <w:num w:numId="13">
    <w:abstractNumId w:val="5"/>
  </w:num>
  <w:num w:numId="14">
    <w:abstractNumId w:val="3"/>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8B1"/>
    <w:rsid w:val="00084E00"/>
    <w:rsid w:val="00091528"/>
    <w:rsid w:val="00096B39"/>
    <w:rsid w:val="000A01A1"/>
    <w:rsid w:val="000A079F"/>
    <w:rsid w:val="000A3320"/>
    <w:rsid w:val="000B02CB"/>
    <w:rsid w:val="000B126F"/>
    <w:rsid w:val="000B2839"/>
    <w:rsid w:val="000B423B"/>
    <w:rsid w:val="000B4E71"/>
    <w:rsid w:val="000B7979"/>
    <w:rsid w:val="000B7E38"/>
    <w:rsid w:val="000C3A07"/>
    <w:rsid w:val="000C66F4"/>
    <w:rsid w:val="000D34BB"/>
    <w:rsid w:val="000D5BC5"/>
    <w:rsid w:val="000D69AB"/>
    <w:rsid w:val="000D7976"/>
    <w:rsid w:val="000E04BC"/>
    <w:rsid w:val="000E2C2B"/>
    <w:rsid w:val="000E4E9C"/>
    <w:rsid w:val="000E502C"/>
    <w:rsid w:val="000F057A"/>
    <w:rsid w:val="000F0F99"/>
    <w:rsid w:val="000F2A63"/>
    <w:rsid w:val="0010261C"/>
    <w:rsid w:val="001157D4"/>
    <w:rsid w:val="00116140"/>
    <w:rsid w:val="00121A61"/>
    <w:rsid w:val="00121AA8"/>
    <w:rsid w:val="001229EA"/>
    <w:rsid w:val="00122B31"/>
    <w:rsid w:val="00122FB9"/>
    <w:rsid w:val="00124048"/>
    <w:rsid w:val="00127CBE"/>
    <w:rsid w:val="00127F11"/>
    <w:rsid w:val="00131547"/>
    <w:rsid w:val="00133740"/>
    <w:rsid w:val="00135911"/>
    <w:rsid w:val="00143627"/>
    <w:rsid w:val="00144DBC"/>
    <w:rsid w:val="00145B33"/>
    <w:rsid w:val="00152D09"/>
    <w:rsid w:val="001545F4"/>
    <w:rsid w:val="00154C94"/>
    <w:rsid w:val="00155174"/>
    <w:rsid w:val="0015737B"/>
    <w:rsid w:val="00157C4F"/>
    <w:rsid w:val="001658C9"/>
    <w:rsid w:val="00167978"/>
    <w:rsid w:val="00171C3F"/>
    <w:rsid w:val="00172C95"/>
    <w:rsid w:val="00173756"/>
    <w:rsid w:val="00173DF4"/>
    <w:rsid w:val="0017474C"/>
    <w:rsid w:val="001818A5"/>
    <w:rsid w:val="00184048"/>
    <w:rsid w:val="001859DA"/>
    <w:rsid w:val="00186931"/>
    <w:rsid w:val="00190637"/>
    <w:rsid w:val="00191087"/>
    <w:rsid w:val="0019388B"/>
    <w:rsid w:val="0019667B"/>
    <w:rsid w:val="00197B9A"/>
    <w:rsid w:val="001A074E"/>
    <w:rsid w:val="001A1EE3"/>
    <w:rsid w:val="001A3197"/>
    <w:rsid w:val="001A4B92"/>
    <w:rsid w:val="001B56B4"/>
    <w:rsid w:val="001B7267"/>
    <w:rsid w:val="001C09B3"/>
    <w:rsid w:val="001C6C22"/>
    <w:rsid w:val="001C7317"/>
    <w:rsid w:val="001C7C26"/>
    <w:rsid w:val="001D7716"/>
    <w:rsid w:val="001D7D4B"/>
    <w:rsid w:val="001E1CAD"/>
    <w:rsid w:val="001F34C0"/>
    <w:rsid w:val="001F5EAA"/>
    <w:rsid w:val="0020218F"/>
    <w:rsid w:val="00203372"/>
    <w:rsid w:val="00204C01"/>
    <w:rsid w:val="0020781F"/>
    <w:rsid w:val="00210486"/>
    <w:rsid w:val="002131B5"/>
    <w:rsid w:val="00213E57"/>
    <w:rsid w:val="002213BD"/>
    <w:rsid w:val="002221CD"/>
    <w:rsid w:val="00224762"/>
    <w:rsid w:val="00226627"/>
    <w:rsid w:val="00227ACE"/>
    <w:rsid w:val="00231965"/>
    <w:rsid w:val="00232DAE"/>
    <w:rsid w:val="00233550"/>
    <w:rsid w:val="002342BF"/>
    <w:rsid w:val="00236313"/>
    <w:rsid w:val="00237F46"/>
    <w:rsid w:val="00240EAC"/>
    <w:rsid w:val="00241AAA"/>
    <w:rsid w:val="0024222F"/>
    <w:rsid w:val="0024389F"/>
    <w:rsid w:val="00246401"/>
    <w:rsid w:val="00246E4A"/>
    <w:rsid w:val="002479FA"/>
    <w:rsid w:val="00252264"/>
    <w:rsid w:val="00252505"/>
    <w:rsid w:val="00252A93"/>
    <w:rsid w:val="0025604F"/>
    <w:rsid w:val="00257082"/>
    <w:rsid w:val="002614E5"/>
    <w:rsid w:val="0026269B"/>
    <w:rsid w:val="00263ED9"/>
    <w:rsid w:val="002646FB"/>
    <w:rsid w:val="002715AB"/>
    <w:rsid w:val="00273DA6"/>
    <w:rsid w:val="00275847"/>
    <w:rsid w:val="00277F60"/>
    <w:rsid w:val="002823B3"/>
    <w:rsid w:val="002847FF"/>
    <w:rsid w:val="00284AB7"/>
    <w:rsid w:val="00285A68"/>
    <w:rsid w:val="002861D6"/>
    <w:rsid w:val="00286AEC"/>
    <w:rsid w:val="00286C57"/>
    <w:rsid w:val="00290A8D"/>
    <w:rsid w:val="00293467"/>
    <w:rsid w:val="00295EB6"/>
    <w:rsid w:val="002A1775"/>
    <w:rsid w:val="002A1CF9"/>
    <w:rsid w:val="002A21E5"/>
    <w:rsid w:val="002A602E"/>
    <w:rsid w:val="002B1870"/>
    <w:rsid w:val="002B4ABB"/>
    <w:rsid w:val="002B627A"/>
    <w:rsid w:val="002B644C"/>
    <w:rsid w:val="002C1BC0"/>
    <w:rsid w:val="002C3012"/>
    <w:rsid w:val="002C3BED"/>
    <w:rsid w:val="002C4DCF"/>
    <w:rsid w:val="002D0E31"/>
    <w:rsid w:val="002D53D0"/>
    <w:rsid w:val="002D5B0B"/>
    <w:rsid w:val="002D7553"/>
    <w:rsid w:val="002D7D5D"/>
    <w:rsid w:val="002F4D26"/>
    <w:rsid w:val="002F7FE1"/>
    <w:rsid w:val="0030072A"/>
    <w:rsid w:val="00301CD4"/>
    <w:rsid w:val="003030AF"/>
    <w:rsid w:val="003045E4"/>
    <w:rsid w:val="003046A5"/>
    <w:rsid w:val="00305C14"/>
    <w:rsid w:val="00311919"/>
    <w:rsid w:val="00312181"/>
    <w:rsid w:val="00314BBE"/>
    <w:rsid w:val="0031580A"/>
    <w:rsid w:val="00317306"/>
    <w:rsid w:val="003264A8"/>
    <w:rsid w:val="00326E47"/>
    <w:rsid w:val="00326E5E"/>
    <w:rsid w:val="00330825"/>
    <w:rsid w:val="003348AD"/>
    <w:rsid w:val="003349E9"/>
    <w:rsid w:val="00340B62"/>
    <w:rsid w:val="00340CC3"/>
    <w:rsid w:val="00340F1E"/>
    <w:rsid w:val="003434BE"/>
    <w:rsid w:val="00352232"/>
    <w:rsid w:val="003534E4"/>
    <w:rsid w:val="00360542"/>
    <w:rsid w:val="003616EE"/>
    <w:rsid w:val="003660A4"/>
    <w:rsid w:val="003670EC"/>
    <w:rsid w:val="00373E7B"/>
    <w:rsid w:val="00377064"/>
    <w:rsid w:val="0037776C"/>
    <w:rsid w:val="00377A6E"/>
    <w:rsid w:val="0038603C"/>
    <w:rsid w:val="00386178"/>
    <w:rsid w:val="00387CC3"/>
    <w:rsid w:val="00392CCB"/>
    <w:rsid w:val="00392F7C"/>
    <w:rsid w:val="003937BA"/>
    <w:rsid w:val="0039544C"/>
    <w:rsid w:val="0039572F"/>
    <w:rsid w:val="003A253C"/>
    <w:rsid w:val="003A74F2"/>
    <w:rsid w:val="003A768F"/>
    <w:rsid w:val="003B0E81"/>
    <w:rsid w:val="003B36F8"/>
    <w:rsid w:val="003B3C9E"/>
    <w:rsid w:val="003B47CA"/>
    <w:rsid w:val="003B5F3F"/>
    <w:rsid w:val="003B7D65"/>
    <w:rsid w:val="003C14E7"/>
    <w:rsid w:val="003C177B"/>
    <w:rsid w:val="003C29F8"/>
    <w:rsid w:val="003C2F91"/>
    <w:rsid w:val="003C3095"/>
    <w:rsid w:val="003C5610"/>
    <w:rsid w:val="003C69F1"/>
    <w:rsid w:val="003D0DB2"/>
    <w:rsid w:val="003D2B95"/>
    <w:rsid w:val="003D368B"/>
    <w:rsid w:val="003D36F6"/>
    <w:rsid w:val="003D4EC1"/>
    <w:rsid w:val="003D5970"/>
    <w:rsid w:val="003D68E5"/>
    <w:rsid w:val="003E2443"/>
    <w:rsid w:val="003E26D7"/>
    <w:rsid w:val="003E2DC1"/>
    <w:rsid w:val="003E319B"/>
    <w:rsid w:val="003E64D5"/>
    <w:rsid w:val="00414A12"/>
    <w:rsid w:val="00414DCA"/>
    <w:rsid w:val="00416E03"/>
    <w:rsid w:val="00423EAC"/>
    <w:rsid w:val="00424B1B"/>
    <w:rsid w:val="00424EB8"/>
    <w:rsid w:val="004257E9"/>
    <w:rsid w:val="0043083C"/>
    <w:rsid w:val="004325FC"/>
    <w:rsid w:val="00442C71"/>
    <w:rsid w:val="0044580A"/>
    <w:rsid w:val="004469A8"/>
    <w:rsid w:val="004600D2"/>
    <w:rsid w:val="00460AE8"/>
    <w:rsid w:val="00460C06"/>
    <w:rsid w:val="0047014F"/>
    <w:rsid w:val="004706F5"/>
    <w:rsid w:val="004714EA"/>
    <w:rsid w:val="0047700E"/>
    <w:rsid w:val="00480640"/>
    <w:rsid w:val="00481280"/>
    <w:rsid w:val="00481814"/>
    <w:rsid w:val="00482590"/>
    <w:rsid w:val="00482CCC"/>
    <w:rsid w:val="00483B96"/>
    <w:rsid w:val="00491F2B"/>
    <w:rsid w:val="00492C9D"/>
    <w:rsid w:val="004947BB"/>
    <w:rsid w:val="004A25F0"/>
    <w:rsid w:val="004A62C4"/>
    <w:rsid w:val="004A69D0"/>
    <w:rsid w:val="004B4091"/>
    <w:rsid w:val="004B68A7"/>
    <w:rsid w:val="004C4C66"/>
    <w:rsid w:val="004C54F7"/>
    <w:rsid w:val="004D062D"/>
    <w:rsid w:val="004D20F7"/>
    <w:rsid w:val="004D7879"/>
    <w:rsid w:val="004E4568"/>
    <w:rsid w:val="004E668C"/>
    <w:rsid w:val="004F0A44"/>
    <w:rsid w:val="004F2AB4"/>
    <w:rsid w:val="004F3C96"/>
    <w:rsid w:val="004F4154"/>
    <w:rsid w:val="004F7576"/>
    <w:rsid w:val="005025FA"/>
    <w:rsid w:val="00506A7D"/>
    <w:rsid w:val="00523A75"/>
    <w:rsid w:val="005259BC"/>
    <w:rsid w:val="00532805"/>
    <w:rsid w:val="00532948"/>
    <w:rsid w:val="00534F80"/>
    <w:rsid w:val="005362B4"/>
    <w:rsid w:val="0053751B"/>
    <w:rsid w:val="0054395A"/>
    <w:rsid w:val="00543A51"/>
    <w:rsid w:val="00544A1F"/>
    <w:rsid w:val="00544D11"/>
    <w:rsid w:val="00547611"/>
    <w:rsid w:val="00554B52"/>
    <w:rsid w:val="005606AE"/>
    <w:rsid w:val="00562223"/>
    <w:rsid w:val="00562635"/>
    <w:rsid w:val="00565CB6"/>
    <w:rsid w:val="00572BDA"/>
    <w:rsid w:val="005736CD"/>
    <w:rsid w:val="00574590"/>
    <w:rsid w:val="005801CD"/>
    <w:rsid w:val="00586C80"/>
    <w:rsid w:val="00592319"/>
    <w:rsid w:val="0059517D"/>
    <w:rsid w:val="00597B51"/>
    <w:rsid w:val="005A1322"/>
    <w:rsid w:val="005A2EEB"/>
    <w:rsid w:val="005A390D"/>
    <w:rsid w:val="005A7E53"/>
    <w:rsid w:val="005B0F7F"/>
    <w:rsid w:val="005B2B9D"/>
    <w:rsid w:val="005B3AB4"/>
    <w:rsid w:val="005C0406"/>
    <w:rsid w:val="005C095A"/>
    <w:rsid w:val="005C26A3"/>
    <w:rsid w:val="005C2774"/>
    <w:rsid w:val="005C31C1"/>
    <w:rsid w:val="005D4ECB"/>
    <w:rsid w:val="005D7660"/>
    <w:rsid w:val="005D7A98"/>
    <w:rsid w:val="005E10B7"/>
    <w:rsid w:val="005E4AED"/>
    <w:rsid w:val="005E53A3"/>
    <w:rsid w:val="005E5482"/>
    <w:rsid w:val="005E7480"/>
    <w:rsid w:val="005F0D19"/>
    <w:rsid w:val="005F0E39"/>
    <w:rsid w:val="005F1BAA"/>
    <w:rsid w:val="005F583F"/>
    <w:rsid w:val="0060248C"/>
    <w:rsid w:val="0060341F"/>
    <w:rsid w:val="00610B8A"/>
    <w:rsid w:val="00622771"/>
    <w:rsid w:val="00624843"/>
    <w:rsid w:val="00624AAE"/>
    <w:rsid w:val="0062660E"/>
    <w:rsid w:val="00627E9D"/>
    <w:rsid w:val="00630087"/>
    <w:rsid w:val="00631AEF"/>
    <w:rsid w:val="00636A7A"/>
    <w:rsid w:val="00636DDA"/>
    <w:rsid w:val="006427AB"/>
    <w:rsid w:val="006429FA"/>
    <w:rsid w:val="006452C4"/>
    <w:rsid w:val="00646392"/>
    <w:rsid w:val="0064705B"/>
    <w:rsid w:val="00656896"/>
    <w:rsid w:val="00656E33"/>
    <w:rsid w:val="00660FF4"/>
    <w:rsid w:val="0066127D"/>
    <w:rsid w:val="00662657"/>
    <w:rsid w:val="00663B56"/>
    <w:rsid w:val="00672460"/>
    <w:rsid w:val="00673D10"/>
    <w:rsid w:val="006821C5"/>
    <w:rsid w:val="00682694"/>
    <w:rsid w:val="00682B26"/>
    <w:rsid w:val="00684EAA"/>
    <w:rsid w:val="00685D40"/>
    <w:rsid w:val="00692486"/>
    <w:rsid w:val="00695125"/>
    <w:rsid w:val="00697C83"/>
    <w:rsid w:val="006A0981"/>
    <w:rsid w:val="006A34AB"/>
    <w:rsid w:val="006A6BF0"/>
    <w:rsid w:val="006B428E"/>
    <w:rsid w:val="006B44DF"/>
    <w:rsid w:val="006B5DEA"/>
    <w:rsid w:val="006C1BFB"/>
    <w:rsid w:val="006C4FDB"/>
    <w:rsid w:val="006C5027"/>
    <w:rsid w:val="006C702B"/>
    <w:rsid w:val="006C791D"/>
    <w:rsid w:val="006D0675"/>
    <w:rsid w:val="006D1045"/>
    <w:rsid w:val="006D249D"/>
    <w:rsid w:val="006D26A4"/>
    <w:rsid w:val="006D6CB2"/>
    <w:rsid w:val="006E1CAD"/>
    <w:rsid w:val="006E2577"/>
    <w:rsid w:val="006E5FEC"/>
    <w:rsid w:val="006E72F6"/>
    <w:rsid w:val="006F4167"/>
    <w:rsid w:val="006F5EC5"/>
    <w:rsid w:val="00700343"/>
    <w:rsid w:val="00700785"/>
    <w:rsid w:val="00704C05"/>
    <w:rsid w:val="00706782"/>
    <w:rsid w:val="007067A9"/>
    <w:rsid w:val="007127A3"/>
    <w:rsid w:val="00712D6C"/>
    <w:rsid w:val="00714A0C"/>
    <w:rsid w:val="00724C4C"/>
    <w:rsid w:val="00727C36"/>
    <w:rsid w:val="007332A6"/>
    <w:rsid w:val="0073678F"/>
    <w:rsid w:val="00742DB9"/>
    <w:rsid w:val="00743638"/>
    <w:rsid w:val="0074765E"/>
    <w:rsid w:val="00751B98"/>
    <w:rsid w:val="00755B8F"/>
    <w:rsid w:val="007576E4"/>
    <w:rsid w:val="00760697"/>
    <w:rsid w:val="0076212D"/>
    <w:rsid w:val="00764013"/>
    <w:rsid w:val="007654C9"/>
    <w:rsid w:val="0076610E"/>
    <w:rsid w:val="00771F81"/>
    <w:rsid w:val="007749A1"/>
    <w:rsid w:val="007767B5"/>
    <w:rsid w:val="00786685"/>
    <w:rsid w:val="00786CFC"/>
    <w:rsid w:val="00792FC8"/>
    <w:rsid w:val="00795B75"/>
    <w:rsid w:val="007A0AC2"/>
    <w:rsid w:val="007A2FDF"/>
    <w:rsid w:val="007A3F3A"/>
    <w:rsid w:val="007A42FA"/>
    <w:rsid w:val="007B009A"/>
    <w:rsid w:val="007B10E7"/>
    <w:rsid w:val="007B5D0C"/>
    <w:rsid w:val="007B78C7"/>
    <w:rsid w:val="007C29C5"/>
    <w:rsid w:val="007C3CC5"/>
    <w:rsid w:val="007C5187"/>
    <w:rsid w:val="007C571F"/>
    <w:rsid w:val="007C633D"/>
    <w:rsid w:val="007D070F"/>
    <w:rsid w:val="007D1123"/>
    <w:rsid w:val="007D6527"/>
    <w:rsid w:val="007E5F21"/>
    <w:rsid w:val="007E6B31"/>
    <w:rsid w:val="007F17FC"/>
    <w:rsid w:val="007F3459"/>
    <w:rsid w:val="007F45BD"/>
    <w:rsid w:val="008009D7"/>
    <w:rsid w:val="00801F25"/>
    <w:rsid w:val="00804027"/>
    <w:rsid w:val="00804CD9"/>
    <w:rsid w:val="00810140"/>
    <w:rsid w:val="008107DE"/>
    <w:rsid w:val="00811714"/>
    <w:rsid w:val="008201F9"/>
    <w:rsid w:val="00821330"/>
    <w:rsid w:val="00824608"/>
    <w:rsid w:val="008276F2"/>
    <w:rsid w:val="00833C00"/>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CF1"/>
    <w:rsid w:val="008A0504"/>
    <w:rsid w:val="008A2335"/>
    <w:rsid w:val="008A4832"/>
    <w:rsid w:val="008B2D96"/>
    <w:rsid w:val="008B3CA4"/>
    <w:rsid w:val="008B469E"/>
    <w:rsid w:val="008B6393"/>
    <w:rsid w:val="008B6935"/>
    <w:rsid w:val="008B6BA4"/>
    <w:rsid w:val="008B78E4"/>
    <w:rsid w:val="008C1AC5"/>
    <w:rsid w:val="008C2551"/>
    <w:rsid w:val="008C369D"/>
    <w:rsid w:val="008C4801"/>
    <w:rsid w:val="008C7307"/>
    <w:rsid w:val="008C73D5"/>
    <w:rsid w:val="008D314D"/>
    <w:rsid w:val="008D5D65"/>
    <w:rsid w:val="008D6A68"/>
    <w:rsid w:val="008E0636"/>
    <w:rsid w:val="008E3F2F"/>
    <w:rsid w:val="008E5E29"/>
    <w:rsid w:val="008F1B40"/>
    <w:rsid w:val="008F1CA5"/>
    <w:rsid w:val="008F475E"/>
    <w:rsid w:val="008F650D"/>
    <w:rsid w:val="00900E9D"/>
    <w:rsid w:val="0090236D"/>
    <w:rsid w:val="00904B75"/>
    <w:rsid w:val="00906266"/>
    <w:rsid w:val="009072C2"/>
    <w:rsid w:val="0090760F"/>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3811"/>
    <w:rsid w:val="00946AAA"/>
    <w:rsid w:val="009545C2"/>
    <w:rsid w:val="0096105D"/>
    <w:rsid w:val="0096227D"/>
    <w:rsid w:val="00966CA5"/>
    <w:rsid w:val="00967473"/>
    <w:rsid w:val="00967AE0"/>
    <w:rsid w:val="00971440"/>
    <w:rsid w:val="0097311E"/>
    <w:rsid w:val="00977436"/>
    <w:rsid w:val="0098684D"/>
    <w:rsid w:val="00986D62"/>
    <w:rsid w:val="0098743D"/>
    <w:rsid w:val="0098757A"/>
    <w:rsid w:val="00987B13"/>
    <w:rsid w:val="00991BA2"/>
    <w:rsid w:val="0099483B"/>
    <w:rsid w:val="00995011"/>
    <w:rsid w:val="009955DE"/>
    <w:rsid w:val="0099583D"/>
    <w:rsid w:val="0099611F"/>
    <w:rsid w:val="009A50D5"/>
    <w:rsid w:val="009A52B0"/>
    <w:rsid w:val="009A6C62"/>
    <w:rsid w:val="009B45DC"/>
    <w:rsid w:val="009B4DFB"/>
    <w:rsid w:val="009B528A"/>
    <w:rsid w:val="009C195C"/>
    <w:rsid w:val="009C2989"/>
    <w:rsid w:val="009C3228"/>
    <w:rsid w:val="009C73DD"/>
    <w:rsid w:val="009D6E71"/>
    <w:rsid w:val="009E2FCC"/>
    <w:rsid w:val="009F1CEC"/>
    <w:rsid w:val="009F6166"/>
    <w:rsid w:val="00A10358"/>
    <w:rsid w:val="00A16A31"/>
    <w:rsid w:val="00A20494"/>
    <w:rsid w:val="00A25167"/>
    <w:rsid w:val="00A3024B"/>
    <w:rsid w:val="00A33969"/>
    <w:rsid w:val="00A357D6"/>
    <w:rsid w:val="00A40F40"/>
    <w:rsid w:val="00A41051"/>
    <w:rsid w:val="00A46703"/>
    <w:rsid w:val="00A473DB"/>
    <w:rsid w:val="00A543D3"/>
    <w:rsid w:val="00A56BD9"/>
    <w:rsid w:val="00A57C34"/>
    <w:rsid w:val="00A63B2B"/>
    <w:rsid w:val="00A63DA0"/>
    <w:rsid w:val="00A65A60"/>
    <w:rsid w:val="00A65D0D"/>
    <w:rsid w:val="00A673FF"/>
    <w:rsid w:val="00A7193A"/>
    <w:rsid w:val="00A740CD"/>
    <w:rsid w:val="00A83BEE"/>
    <w:rsid w:val="00A84334"/>
    <w:rsid w:val="00A84AD3"/>
    <w:rsid w:val="00A8767E"/>
    <w:rsid w:val="00A91703"/>
    <w:rsid w:val="00A94C78"/>
    <w:rsid w:val="00A950D4"/>
    <w:rsid w:val="00AA0774"/>
    <w:rsid w:val="00AA595D"/>
    <w:rsid w:val="00AB0F02"/>
    <w:rsid w:val="00AB67CA"/>
    <w:rsid w:val="00AB7231"/>
    <w:rsid w:val="00AC1318"/>
    <w:rsid w:val="00AC6DCC"/>
    <w:rsid w:val="00AC6EBD"/>
    <w:rsid w:val="00AD0BD3"/>
    <w:rsid w:val="00AD10A8"/>
    <w:rsid w:val="00AD1B9D"/>
    <w:rsid w:val="00AD4E59"/>
    <w:rsid w:val="00AD4FB5"/>
    <w:rsid w:val="00AE039B"/>
    <w:rsid w:val="00AE408A"/>
    <w:rsid w:val="00AE4C9E"/>
    <w:rsid w:val="00AE4CEE"/>
    <w:rsid w:val="00AE59C7"/>
    <w:rsid w:val="00AE6160"/>
    <w:rsid w:val="00AF10EB"/>
    <w:rsid w:val="00AF2131"/>
    <w:rsid w:val="00AF2832"/>
    <w:rsid w:val="00AF3085"/>
    <w:rsid w:val="00AF5A2F"/>
    <w:rsid w:val="00AF5B84"/>
    <w:rsid w:val="00AF78EC"/>
    <w:rsid w:val="00B10C6C"/>
    <w:rsid w:val="00B1123C"/>
    <w:rsid w:val="00B2050B"/>
    <w:rsid w:val="00B2204F"/>
    <w:rsid w:val="00B2257C"/>
    <w:rsid w:val="00B22950"/>
    <w:rsid w:val="00B24FF2"/>
    <w:rsid w:val="00B33DDC"/>
    <w:rsid w:val="00B35DAA"/>
    <w:rsid w:val="00B35ED4"/>
    <w:rsid w:val="00B40097"/>
    <w:rsid w:val="00B40787"/>
    <w:rsid w:val="00B42A88"/>
    <w:rsid w:val="00B42E5D"/>
    <w:rsid w:val="00B43A96"/>
    <w:rsid w:val="00B45CD6"/>
    <w:rsid w:val="00B45DEF"/>
    <w:rsid w:val="00B512D0"/>
    <w:rsid w:val="00B54D56"/>
    <w:rsid w:val="00B57FE1"/>
    <w:rsid w:val="00B7497F"/>
    <w:rsid w:val="00B75A91"/>
    <w:rsid w:val="00B8158F"/>
    <w:rsid w:val="00B83111"/>
    <w:rsid w:val="00B87221"/>
    <w:rsid w:val="00B87BC2"/>
    <w:rsid w:val="00B953C5"/>
    <w:rsid w:val="00B95538"/>
    <w:rsid w:val="00B95A4D"/>
    <w:rsid w:val="00B973F9"/>
    <w:rsid w:val="00BA04DA"/>
    <w:rsid w:val="00BA0F96"/>
    <w:rsid w:val="00BA38FD"/>
    <w:rsid w:val="00BB24AA"/>
    <w:rsid w:val="00BB5CE6"/>
    <w:rsid w:val="00BB687B"/>
    <w:rsid w:val="00BC1926"/>
    <w:rsid w:val="00BC1F47"/>
    <w:rsid w:val="00BC3CD6"/>
    <w:rsid w:val="00BD44AD"/>
    <w:rsid w:val="00BE1D59"/>
    <w:rsid w:val="00BE48AD"/>
    <w:rsid w:val="00BE5222"/>
    <w:rsid w:val="00BE630C"/>
    <w:rsid w:val="00BF27AD"/>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336AF"/>
    <w:rsid w:val="00C33B80"/>
    <w:rsid w:val="00C34287"/>
    <w:rsid w:val="00C35924"/>
    <w:rsid w:val="00C4579C"/>
    <w:rsid w:val="00C463EC"/>
    <w:rsid w:val="00C46A85"/>
    <w:rsid w:val="00C476B1"/>
    <w:rsid w:val="00C556B5"/>
    <w:rsid w:val="00C567CD"/>
    <w:rsid w:val="00C63EA6"/>
    <w:rsid w:val="00C6417A"/>
    <w:rsid w:val="00C763DC"/>
    <w:rsid w:val="00C77D03"/>
    <w:rsid w:val="00C80290"/>
    <w:rsid w:val="00C82AEC"/>
    <w:rsid w:val="00C84903"/>
    <w:rsid w:val="00C8594E"/>
    <w:rsid w:val="00C870DF"/>
    <w:rsid w:val="00C942D2"/>
    <w:rsid w:val="00C95C6C"/>
    <w:rsid w:val="00CA2A90"/>
    <w:rsid w:val="00CA4333"/>
    <w:rsid w:val="00CA59D2"/>
    <w:rsid w:val="00CB15B8"/>
    <w:rsid w:val="00CB2612"/>
    <w:rsid w:val="00CB4385"/>
    <w:rsid w:val="00CB466E"/>
    <w:rsid w:val="00CB5BF9"/>
    <w:rsid w:val="00CB7002"/>
    <w:rsid w:val="00CC34D6"/>
    <w:rsid w:val="00CC35C2"/>
    <w:rsid w:val="00CC4E57"/>
    <w:rsid w:val="00CC63FB"/>
    <w:rsid w:val="00CC6B20"/>
    <w:rsid w:val="00CD1E75"/>
    <w:rsid w:val="00CD4AF2"/>
    <w:rsid w:val="00CE1E91"/>
    <w:rsid w:val="00CE22E2"/>
    <w:rsid w:val="00CE42BC"/>
    <w:rsid w:val="00CE5DCA"/>
    <w:rsid w:val="00CE6CF2"/>
    <w:rsid w:val="00CF358C"/>
    <w:rsid w:val="00D04203"/>
    <w:rsid w:val="00D04A46"/>
    <w:rsid w:val="00D04B76"/>
    <w:rsid w:val="00D06C70"/>
    <w:rsid w:val="00D1150F"/>
    <w:rsid w:val="00D22733"/>
    <w:rsid w:val="00D23151"/>
    <w:rsid w:val="00D3005F"/>
    <w:rsid w:val="00D32845"/>
    <w:rsid w:val="00D32E91"/>
    <w:rsid w:val="00D34F58"/>
    <w:rsid w:val="00D401AC"/>
    <w:rsid w:val="00D429E2"/>
    <w:rsid w:val="00D43F00"/>
    <w:rsid w:val="00D52195"/>
    <w:rsid w:val="00D61D2E"/>
    <w:rsid w:val="00D6353B"/>
    <w:rsid w:val="00D6703E"/>
    <w:rsid w:val="00D70AF0"/>
    <w:rsid w:val="00D71B15"/>
    <w:rsid w:val="00D741C7"/>
    <w:rsid w:val="00D75678"/>
    <w:rsid w:val="00D808B7"/>
    <w:rsid w:val="00D83E52"/>
    <w:rsid w:val="00D85408"/>
    <w:rsid w:val="00D8666B"/>
    <w:rsid w:val="00D87082"/>
    <w:rsid w:val="00D92E75"/>
    <w:rsid w:val="00D9310F"/>
    <w:rsid w:val="00D952E7"/>
    <w:rsid w:val="00D95558"/>
    <w:rsid w:val="00D9617D"/>
    <w:rsid w:val="00D971C5"/>
    <w:rsid w:val="00DA3F61"/>
    <w:rsid w:val="00DB25D6"/>
    <w:rsid w:val="00DB3859"/>
    <w:rsid w:val="00DB5E03"/>
    <w:rsid w:val="00DB6370"/>
    <w:rsid w:val="00DB66D9"/>
    <w:rsid w:val="00DB73D0"/>
    <w:rsid w:val="00DB7874"/>
    <w:rsid w:val="00DC0AF9"/>
    <w:rsid w:val="00DC1200"/>
    <w:rsid w:val="00DD14FF"/>
    <w:rsid w:val="00DD7CEB"/>
    <w:rsid w:val="00DE7728"/>
    <w:rsid w:val="00DF5558"/>
    <w:rsid w:val="00E0081B"/>
    <w:rsid w:val="00E00D36"/>
    <w:rsid w:val="00E01A93"/>
    <w:rsid w:val="00E063D8"/>
    <w:rsid w:val="00E06B61"/>
    <w:rsid w:val="00E07EB8"/>
    <w:rsid w:val="00E10F2F"/>
    <w:rsid w:val="00E116BE"/>
    <w:rsid w:val="00E11EC5"/>
    <w:rsid w:val="00E13071"/>
    <w:rsid w:val="00E13E6C"/>
    <w:rsid w:val="00E14191"/>
    <w:rsid w:val="00E147D6"/>
    <w:rsid w:val="00E17CC9"/>
    <w:rsid w:val="00E230A0"/>
    <w:rsid w:val="00E23939"/>
    <w:rsid w:val="00E33E89"/>
    <w:rsid w:val="00E36674"/>
    <w:rsid w:val="00E3699F"/>
    <w:rsid w:val="00E404B6"/>
    <w:rsid w:val="00E456D8"/>
    <w:rsid w:val="00E51896"/>
    <w:rsid w:val="00E55AE9"/>
    <w:rsid w:val="00E56641"/>
    <w:rsid w:val="00E57B33"/>
    <w:rsid w:val="00E608CF"/>
    <w:rsid w:val="00E623FC"/>
    <w:rsid w:val="00E63278"/>
    <w:rsid w:val="00E66F64"/>
    <w:rsid w:val="00E67459"/>
    <w:rsid w:val="00E711EA"/>
    <w:rsid w:val="00E779A8"/>
    <w:rsid w:val="00E80720"/>
    <w:rsid w:val="00E86A1A"/>
    <w:rsid w:val="00E86D91"/>
    <w:rsid w:val="00E87BA9"/>
    <w:rsid w:val="00E90350"/>
    <w:rsid w:val="00E9082C"/>
    <w:rsid w:val="00E91DF3"/>
    <w:rsid w:val="00E94CE1"/>
    <w:rsid w:val="00E96043"/>
    <w:rsid w:val="00EA031B"/>
    <w:rsid w:val="00EA212A"/>
    <w:rsid w:val="00EA2BBC"/>
    <w:rsid w:val="00EA3297"/>
    <w:rsid w:val="00EA3BAC"/>
    <w:rsid w:val="00EB2CC4"/>
    <w:rsid w:val="00EB3EF4"/>
    <w:rsid w:val="00EB4649"/>
    <w:rsid w:val="00EC3404"/>
    <w:rsid w:val="00EC735A"/>
    <w:rsid w:val="00ED079C"/>
    <w:rsid w:val="00ED2AB1"/>
    <w:rsid w:val="00ED2ACA"/>
    <w:rsid w:val="00ED38E1"/>
    <w:rsid w:val="00ED428A"/>
    <w:rsid w:val="00ED7BF8"/>
    <w:rsid w:val="00EE12FD"/>
    <w:rsid w:val="00EE2931"/>
    <w:rsid w:val="00EE321B"/>
    <w:rsid w:val="00EE4034"/>
    <w:rsid w:val="00EE4ACD"/>
    <w:rsid w:val="00EF0B14"/>
    <w:rsid w:val="00EF2AE9"/>
    <w:rsid w:val="00EF40CC"/>
    <w:rsid w:val="00EF57B2"/>
    <w:rsid w:val="00F041FC"/>
    <w:rsid w:val="00F0502C"/>
    <w:rsid w:val="00F051EC"/>
    <w:rsid w:val="00F05F69"/>
    <w:rsid w:val="00F072A0"/>
    <w:rsid w:val="00F078DF"/>
    <w:rsid w:val="00F07A8D"/>
    <w:rsid w:val="00F07E6A"/>
    <w:rsid w:val="00F103FE"/>
    <w:rsid w:val="00F12605"/>
    <w:rsid w:val="00F137D4"/>
    <w:rsid w:val="00F20B46"/>
    <w:rsid w:val="00F21F10"/>
    <w:rsid w:val="00F248E0"/>
    <w:rsid w:val="00F24AAC"/>
    <w:rsid w:val="00F266FC"/>
    <w:rsid w:val="00F30326"/>
    <w:rsid w:val="00F30A37"/>
    <w:rsid w:val="00F32C41"/>
    <w:rsid w:val="00F33C7C"/>
    <w:rsid w:val="00F4362C"/>
    <w:rsid w:val="00F43633"/>
    <w:rsid w:val="00F437C5"/>
    <w:rsid w:val="00F46CB4"/>
    <w:rsid w:val="00F518B4"/>
    <w:rsid w:val="00F52EF5"/>
    <w:rsid w:val="00F546B2"/>
    <w:rsid w:val="00F55671"/>
    <w:rsid w:val="00F5581E"/>
    <w:rsid w:val="00F579FA"/>
    <w:rsid w:val="00F61CC2"/>
    <w:rsid w:val="00F65E70"/>
    <w:rsid w:val="00F66FEE"/>
    <w:rsid w:val="00F67B71"/>
    <w:rsid w:val="00F72096"/>
    <w:rsid w:val="00F76F70"/>
    <w:rsid w:val="00F80227"/>
    <w:rsid w:val="00F83189"/>
    <w:rsid w:val="00F83A44"/>
    <w:rsid w:val="00F854AA"/>
    <w:rsid w:val="00F86053"/>
    <w:rsid w:val="00F861FA"/>
    <w:rsid w:val="00F90741"/>
    <w:rsid w:val="00F930EB"/>
    <w:rsid w:val="00F96A5A"/>
    <w:rsid w:val="00F97857"/>
    <w:rsid w:val="00F97B98"/>
    <w:rsid w:val="00FA3ABE"/>
    <w:rsid w:val="00FA5AAB"/>
    <w:rsid w:val="00FA75DC"/>
    <w:rsid w:val="00FB0B2B"/>
    <w:rsid w:val="00FB33FA"/>
    <w:rsid w:val="00FC0304"/>
    <w:rsid w:val="00FC235E"/>
    <w:rsid w:val="00FC35B4"/>
    <w:rsid w:val="00FD5C76"/>
    <w:rsid w:val="00FE0359"/>
    <w:rsid w:val="00FE584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61"/>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rsid w:val="00B75A91"/>
    <w:pPr>
      <w:spacing w:after="180"/>
      <w:ind w:left="568" w:hanging="284"/>
    </w:pPr>
    <w:rPr>
      <w:rFonts w:eastAsia="Malgun Gothic"/>
      <w:lang w:eastAsia="x-none"/>
    </w:rPr>
  </w:style>
  <w:style w:type="character" w:customStyle="1" w:styleId="B1Char1">
    <w:name w:val="B1 Char1"/>
    <w:link w:val="B1"/>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rsid w:val="00B75A91"/>
    <w:pPr>
      <w:spacing w:after="180"/>
      <w:ind w:left="851" w:hanging="284"/>
      <w:contextualSpacing w:val="0"/>
    </w:pPr>
    <w:rPr>
      <w:rFonts w:eastAsia="Malgun Gothic"/>
      <w:lang w:val="x-none"/>
    </w:rPr>
  </w:style>
  <w:style w:type="character" w:customStyle="1" w:styleId="B2Char">
    <w:name w:val="B2 Char"/>
    <w:link w:val="B2"/>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rsid w:val="00B75A91"/>
    <w:pPr>
      <w:spacing w:after="180"/>
      <w:ind w:left="1135" w:hanging="284"/>
      <w:contextualSpacing w:val="0"/>
    </w:pPr>
    <w:rPr>
      <w:rFonts w:eastAsia="Malgun Gothic"/>
      <w:lang w:val="x-none"/>
    </w:rPr>
  </w:style>
  <w:style w:type="character" w:customStyle="1" w:styleId="B3Char2">
    <w:name w:val="B3 Char2"/>
    <w:link w:val="B3"/>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A3D246-B518-4645-A26C-F2F054CAD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1781</Words>
  <Characters>10157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26</cp:revision>
  <dcterms:created xsi:type="dcterms:W3CDTF">2022-02-10T15:51:00Z</dcterms:created>
  <dcterms:modified xsi:type="dcterms:W3CDTF">2022-02-14T19:09:00Z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